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B561D" w14:textId="77777777" w:rsidR="00910D27" w:rsidRPr="001C3D37" w:rsidRDefault="00910D27" w:rsidP="00E30700">
      <w:pPr>
        <w:rPr>
          <w:b/>
        </w:rPr>
      </w:pPr>
    </w:p>
    <w:p w14:paraId="6D42766F" w14:textId="2CF67563" w:rsidR="004863E5" w:rsidRPr="00E30700" w:rsidRDefault="004863E5" w:rsidP="00E30700">
      <w:pPr>
        <w:jc w:val="center"/>
        <w:rPr>
          <w:b/>
          <w:sz w:val="20"/>
          <w:szCs w:val="20"/>
        </w:rPr>
      </w:pPr>
      <w:r w:rsidRPr="00E30700">
        <w:rPr>
          <w:b/>
          <w:sz w:val="20"/>
          <w:szCs w:val="20"/>
        </w:rPr>
        <w:t>The Middle Class Prosperity Project</w:t>
      </w:r>
    </w:p>
    <w:p w14:paraId="7E54F0E9" w14:textId="57630B08" w:rsidR="004863E5" w:rsidRPr="00E30700" w:rsidRDefault="004863E5" w:rsidP="00E30700">
      <w:pPr>
        <w:jc w:val="center"/>
        <w:rPr>
          <w:rFonts w:eastAsia="Times New Roman"/>
          <w:b/>
          <w:bCs/>
          <w:color w:val="393838"/>
          <w:spacing w:val="2"/>
          <w:sz w:val="20"/>
          <w:szCs w:val="20"/>
        </w:rPr>
      </w:pPr>
      <w:r w:rsidRPr="00E30700">
        <w:rPr>
          <w:rFonts w:eastAsia="Times New Roman"/>
          <w:b/>
          <w:bCs/>
          <w:color w:val="393838"/>
          <w:spacing w:val="2"/>
          <w:sz w:val="20"/>
          <w:szCs w:val="20"/>
        </w:rPr>
        <w:t>Forum on Access and Opportunity: Predatory Financial Practices and Economic Injustice</w:t>
      </w:r>
    </w:p>
    <w:p w14:paraId="39D93AC5" w14:textId="77777777" w:rsidR="001C3D37" w:rsidRPr="00E30700" w:rsidRDefault="001C3D37" w:rsidP="00E30700">
      <w:pPr>
        <w:jc w:val="center"/>
        <w:rPr>
          <w:rFonts w:eastAsia="Times New Roman"/>
          <w:b/>
          <w:bCs/>
          <w:color w:val="393838"/>
          <w:spacing w:val="2"/>
          <w:sz w:val="20"/>
          <w:szCs w:val="20"/>
        </w:rPr>
      </w:pPr>
    </w:p>
    <w:p w14:paraId="06021BE7" w14:textId="6837F6EA" w:rsidR="004863E5" w:rsidRPr="00E30700" w:rsidRDefault="004863E5" w:rsidP="00E30700">
      <w:pPr>
        <w:jc w:val="center"/>
        <w:rPr>
          <w:rFonts w:eastAsia="Times New Roman"/>
          <w:b/>
          <w:bCs/>
          <w:color w:val="393838"/>
          <w:spacing w:val="2"/>
          <w:sz w:val="20"/>
          <w:szCs w:val="20"/>
        </w:rPr>
      </w:pPr>
      <w:r w:rsidRPr="00E30700">
        <w:rPr>
          <w:rFonts w:eastAsia="Times New Roman"/>
          <w:b/>
          <w:bCs/>
          <w:color w:val="393838"/>
          <w:spacing w:val="2"/>
          <w:sz w:val="20"/>
          <w:szCs w:val="20"/>
        </w:rPr>
        <w:t>Remarks by Rachel Schneider, SVP, CFSI</w:t>
      </w:r>
    </w:p>
    <w:p w14:paraId="5539A90D" w14:textId="77777777" w:rsidR="004863E5" w:rsidRPr="00E30700" w:rsidRDefault="004863E5" w:rsidP="00E30700">
      <w:pPr>
        <w:jc w:val="center"/>
        <w:rPr>
          <w:rFonts w:eastAsia="Times New Roman"/>
          <w:b/>
          <w:bCs/>
          <w:color w:val="393838"/>
          <w:spacing w:val="2"/>
          <w:sz w:val="20"/>
          <w:szCs w:val="20"/>
        </w:rPr>
      </w:pPr>
      <w:r w:rsidRPr="00E30700">
        <w:rPr>
          <w:rFonts w:eastAsia="Times New Roman"/>
          <w:b/>
          <w:bCs/>
          <w:color w:val="393838"/>
          <w:spacing w:val="2"/>
          <w:sz w:val="20"/>
          <w:szCs w:val="20"/>
        </w:rPr>
        <w:t>May 11, 2015</w:t>
      </w:r>
    </w:p>
    <w:p w14:paraId="769F3824" w14:textId="77777777" w:rsidR="004863E5" w:rsidRPr="00E30700" w:rsidRDefault="004863E5" w:rsidP="00E30700">
      <w:pPr>
        <w:spacing w:line="360" w:lineRule="auto"/>
        <w:rPr>
          <w:rFonts w:eastAsia="Times New Roman"/>
          <w:sz w:val="20"/>
          <w:szCs w:val="20"/>
        </w:rPr>
      </w:pPr>
    </w:p>
    <w:p w14:paraId="2EF8FD50" w14:textId="54D67358" w:rsidR="00E30700" w:rsidRPr="00E30700" w:rsidRDefault="00E30700" w:rsidP="00E30700">
      <w:pPr>
        <w:spacing w:line="360" w:lineRule="auto"/>
        <w:rPr>
          <w:sz w:val="22"/>
          <w:szCs w:val="22"/>
        </w:rPr>
      </w:pPr>
      <w:r w:rsidRPr="00E30700">
        <w:rPr>
          <w:sz w:val="22"/>
          <w:szCs w:val="22"/>
        </w:rPr>
        <w:t>More than half of American adults – approximately 138 million – are struggling financially.</w:t>
      </w:r>
      <w:r w:rsidRPr="00E30700">
        <w:rPr>
          <w:rStyle w:val="FootnoteReference"/>
          <w:sz w:val="22"/>
          <w:szCs w:val="22"/>
        </w:rPr>
        <w:footnoteReference w:id="1"/>
      </w:r>
      <w:r w:rsidRPr="00E30700">
        <w:rPr>
          <w:rFonts w:eastAsia="Times New Roman"/>
          <w:sz w:val="22"/>
          <w:szCs w:val="22"/>
        </w:rPr>
        <w:t xml:space="preserve"> </w:t>
      </w:r>
      <w:r w:rsidRPr="00E30700">
        <w:rPr>
          <w:sz w:val="22"/>
          <w:szCs w:val="22"/>
        </w:rPr>
        <w:t>While there are numerous causes, one of the primary drivers is volatile income, which affects about one-third of Americans.</w:t>
      </w:r>
      <w:r w:rsidRPr="00E30700">
        <w:rPr>
          <w:rStyle w:val="FootnoteReference"/>
          <w:sz w:val="22"/>
          <w:szCs w:val="22"/>
        </w:rPr>
        <w:footnoteReference w:id="2"/>
      </w:r>
      <w:r w:rsidRPr="00E30700">
        <w:rPr>
          <w:sz w:val="22"/>
          <w:szCs w:val="22"/>
        </w:rPr>
        <w:t xml:space="preserve"> Their earnings fluctuate from month to month in both amount and timing, and in ways that are often outside of the households’ control – available hours or tips are unpredictable, a seasonal job winds down. Expenses often vary monthly as well and can be equally unpredictable. Such households experience swings in their ability to cover basic expenses, pay down debt or save for the future. This makes it difficult to achieve financial health.</w:t>
      </w:r>
    </w:p>
    <w:p w14:paraId="211AB1F8" w14:textId="77777777" w:rsidR="00E30700" w:rsidRPr="00E30700" w:rsidRDefault="00E30700" w:rsidP="00E30700">
      <w:pPr>
        <w:spacing w:line="360" w:lineRule="auto"/>
        <w:rPr>
          <w:sz w:val="22"/>
          <w:szCs w:val="22"/>
        </w:rPr>
      </w:pPr>
    </w:p>
    <w:p w14:paraId="182A2AA6" w14:textId="77777777" w:rsidR="00E30700" w:rsidRPr="00E30700" w:rsidRDefault="00E30700" w:rsidP="00E30700">
      <w:pPr>
        <w:spacing w:line="360" w:lineRule="auto"/>
        <w:rPr>
          <w:rFonts w:eastAsia="Times New Roman"/>
          <w:sz w:val="22"/>
          <w:szCs w:val="22"/>
        </w:rPr>
      </w:pPr>
      <w:r w:rsidRPr="00E30700">
        <w:rPr>
          <w:rFonts w:eastAsia="Times New Roman"/>
          <w:sz w:val="22"/>
          <w:szCs w:val="22"/>
        </w:rPr>
        <w:t>To bridge the gap, some households can tap into a savings account or shift spending to a credit card. However, for the millions of Americans without an extra savings cushion</w:t>
      </w:r>
      <w:r w:rsidRPr="00E30700">
        <w:rPr>
          <w:rStyle w:val="FootnoteReference"/>
          <w:rFonts w:eastAsia="Times New Roman"/>
          <w:sz w:val="22"/>
          <w:szCs w:val="22"/>
        </w:rPr>
        <w:footnoteReference w:id="3"/>
      </w:r>
      <w:r w:rsidRPr="00E30700">
        <w:rPr>
          <w:rFonts w:eastAsia="Times New Roman"/>
          <w:sz w:val="22"/>
          <w:szCs w:val="22"/>
        </w:rPr>
        <w:t xml:space="preserve"> or access to reliable credit,</w:t>
      </w:r>
      <w:r w:rsidRPr="00E30700">
        <w:rPr>
          <w:rStyle w:val="FootnoteReference"/>
          <w:rFonts w:eastAsia="Times New Roman"/>
          <w:sz w:val="22"/>
          <w:szCs w:val="22"/>
        </w:rPr>
        <w:footnoteReference w:id="4"/>
      </w:r>
      <w:r w:rsidRPr="00E30700">
        <w:rPr>
          <w:rFonts w:eastAsia="Times New Roman"/>
          <w:sz w:val="22"/>
          <w:szCs w:val="22"/>
        </w:rPr>
        <w:t xml:space="preserve"> easy solutions are scarce. Absent better options, many turn to costly financial products to manage uncertain financial lives.</w:t>
      </w:r>
    </w:p>
    <w:p w14:paraId="24B2D495" w14:textId="77777777" w:rsidR="00E30700" w:rsidRPr="00E30700" w:rsidRDefault="00E30700" w:rsidP="00E30700">
      <w:pPr>
        <w:spacing w:line="360" w:lineRule="auto"/>
        <w:rPr>
          <w:rFonts w:eastAsia="Times New Roman"/>
          <w:sz w:val="22"/>
          <w:szCs w:val="22"/>
        </w:rPr>
      </w:pPr>
    </w:p>
    <w:p w14:paraId="7B922D65" w14:textId="7A7D44B4" w:rsidR="00E30700" w:rsidRPr="00E30700" w:rsidRDefault="00E30700" w:rsidP="00E30700">
      <w:pPr>
        <w:spacing w:line="360" w:lineRule="auto"/>
        <w:rPr>
          <w:rFonts w:eastAsia="Times New Roman"/>
          <w:sz w:val="22"/>
          <w:szCs w:val="22"/>
        </w:rPr>
      </w:pPr>
      <w:r w:rsidRPr="00E30700">
        <w:rPr>
          <w:rFonts w:eastAsia="Times New Roman"/>
          <w:sz w:val="22"/>
          <w:szCs w:val="22"/>
        </w:rPr>
        <w:t>Every year, millions of American consumers use short-term loans of under $1000 – often called small dollar credit products – for quick access to cash.</w:t>
      </w:r>
      <w:r w:rsidRPr="00E30700">
        <w:rPr>
          <w:rStyle w:val="FootnoteReference"/>
          <w:rFonts w:eastAsia="Times New Roman"/>
          <w:sz w:val="22"/>
          <w:szCs w:val="22"/>
        </w:rPr>
        <w:footnoteReference w:id="5"/>
      </w:r>
      <w:r w:rsidRPr="00E30700">
        <w:rPr>
          <w:rFonts w:eastAsia="Times New Roman"/>
          <w:sz w:val="22"/>
          <w:szCs w:val="22"/>
        </w:rPr>
        <w:t xml:space="preserve">  In 2013, the “very short-term” credit </w:t>
      </w:r>
      <w:r w:rsidRPr="00E30700">
        <w:rPr>
          <w:rFonts w:eastAsia="Times New Roman"/>
          <w:sz w:val="22"/>
          <w:szCs w:val="22"/>
        </w:rPr>
        <w:lastRenderedPageBreak/>
        <w:t>market – payday loans, pawn loans, deposit advance products, overdraft and refund anticipation loans – generated $</w:t>
      </w:r>
      <w:r w:rsidR="00513F60">
        <w:rPr>
          <w:rFonts w:eastAsia="Times New Roman"/>
          <w:sz w:val="22"/>
          <w:szCs w:val="22"/>
        </w:rPr>
        <w:t>21.9</w:t>
      </w:r>
      <w:r w:rsidR="002F42FA">
        <w:rPr>
          <w:rFonts w:eastAsia="Times New Roman"/>
          <w:sz w:val="22"/>
          <w:szCs w:val="22"/>
        </w:rPr>
        <w:t xml:space="preserve"> billion of</w:t>
      </w:r>
      <w:r w:rsidR="00725C22">
        <w:rPr>
          <w:rFonts w:eastAsia="Times New Roman"/>
          <w:sz w:val="22"/>
          <w:szCs w:val="22"/>
        </w:rPr>
        <w:t xml:space="preserve"> the $103</w:t>
      </w:r>
      <w:r w:rsidRPr="00E30700">
        <w:rPr>
          <w:rFonts w:eastAsia="Times New Roman"/>
          <w:sz w:val="22"/>
          <w:szCs w:val="22"/>
        </w:rPr>
        <w:t xml:space="preserve"> billion in total revenue generated within the underserved financial services sector in 2013.</w:t>
      </w:r>
      <w:r w:rsidRPr="00E30700">
        <w:rPr>
          <w:rStyle w:val="FootnoteReference"/>
          <w:rFonts w:eastAsia="Times New Roman"/>
          <w:sz w:val="22"/>
          <w:szCs w:val="22"/>
        </w:rPr>
        <w:footnoteReference w:id="6"/>
      </w:r>
      <w:r w:rsidRPr="00E30700">
        <w:rPr>
          <w:rFonts w:eastAsia="Times New Roman"/>
          <w:sz w:val="22"/>
          <w:szCs w:val="22"/>
        </w:rPr>
        <w:t xml:space="preserve"> </w:t>
      </w:r>
    </w:p>
    <w:p w14:paraId="31E470A8" w14:textId="77777777" w:rsidR="00E30700" w:rsidRPr="00E30700" w:rsidRDefault="00E30700" w:rsidP="00E30700">
      <w:pPr>
        <w:spacing w:line="360" w:lineRule="auto"/>
        <w:rPr>
          <w:rFonts w:eastAsia="Times New Roman"/>
          <w:sz w:val="22"/>
          <w:szCs w:val="22"/>
        </w:rPr>
      </w:pPr>
    </w:p>
    <w:p w14:paraId="23C2A557" w14:textId="77777777" w:rsidR="00E30700" w:rsidRPr="00E30700" w:rsidRDefault="00E30700" w:rsidP="00E30700">
      <w:pPr>
        <w:spacing w:line="360" w:lineRule="auto"/>
        <w:rPr>
          <w:rFonts w:eastAsia="Times New Roman"/>
          <w:sz w:val="22"/>
          <w:szCs w:val="22"/>
        </w:rPr>
      </w:pPr>
      <w:r w:rsidRPr="00E30700">
        <w:rPr>
          <w:rFonts w:eastAsia="Times New Roman"/>
          <w:sz w:val="22"/>
          <w:szCs w:val="22"/>
        </w:rPr>
        <w:t>Users of small dollar credit tend to feel that they do not have better options. Only 27% of SDC borrowers had a credit card, compared to 61% of non-SDC borrowers. And, for most of these consumers, spending down savings is not a viable replacement for SDC in the near-term, because about two thirds of SDC consumers report having no savings at all.</w:t>
      </w:r>
      <w:r w:rsidRPr="00E30700">
        <w:rPr>
          <w:rStyle w:val="FootnoteReference"/>
          <w:rFonts w:eastAsia="Times New Roman"/>
          <w:sz w:val="22"/>
          <w:szCs w:val="22"/>
        </w:rPr>
        <w:footnoteReference w:id="7"/>
      </w:r>
      <w:r w:rsidRPr="00E30700">
        <w:rPr>
          <w:rFonts w:eastAsia="Times New Roman"/>
          <w:sz w:val="22"/>
          <w:szCs w:val="22"/>
        </w:rPr>
        <w:t xml:space="preserve"> </w:t>
      </w:r>
    </w:p>
    <w:p w14:paraId="7D4DB8F1" w14:textId="77777777" w:rsidR="00E30700" w:rsidRPr="00E30700" w:rsidRDefault="00E30700" w:rsidP="00E30700">
      <w:pPr>
        <w:spacing w:line="360" w:lineRule="auto"/>
        <w:rPr>
          <w:rFonts w:eastAsia="Times New Roman"/>
          <w:sz w:val="22"/>
          <w:szCs w:val="22"/>
        </w:rPr>
      </w:pPr>
    </w:p>
    <w:p w14:paraId="29BCFA8D" w14:textId="646162F7" w:rsidR="00E30700" w:rsidRPr="00E30700" w:rsidRDefault="00E30700" w:rsidP="00E30700">
      <w:pPr>
        <w:spacing w:line="360" w:lineRule="auto"/>
        <w:rPr>
          <w:rFonts w:eastAsia="Times New Roman"/>
          <w:sz w:val="22"/>
          <w:szCs w:val="22"/>
        </w:rPr>
      </w:pPr>
      <w:r w:rsidRPr="00E30700">
        <w:rPr>
          <w:rFonts w:eastAsia="Times New Roman"/>
          <w:sz w:val="22"/>
          <w:szCs w:val="22"/>
        </w:rPr>
        <w:t xml:space="preserve">These products—payday loans, pawn loans, direct deposit advance loans, auto title loans, and non-bank installment loans—are often structured in ways that make repayment under the original terms of the contract unlikely. Lenders often do little or no underwriting, and require a quick turnaround balloon payment, which can lead consumers into a cycle of repeat usage and mounting debt. </w:t>
      </w:r>
      <w:r w:rsidR="005715A5">
        <w:rPr>
          <w:rFonts w:eastAsia="Times New Roman"/>
          <w:sz w:val="22"/>
          <w:szCs w:val="22"/>
        </w:rPr>
        <w:t xml:space="preserve"> The Consumer Financial Protection Bureau’s research shows that about one third of borrowers pay off their loans as planned, but the remaining two thirds roll over their loans multiple times</w:t>
      </w:r>
      <w:r w:rsidRPr="00E30700">
        <w:rPr>
          <w:rFonts w:eastAsia="Times New Roman"/>
          <w:sz w:val="22"/>
          <w:szCs w:val="22"/>
        </w:rPr>
        <w:t>.</w:t>
      </w:r>
      <w:r w:rsidRPr="00E30700">
        <w:rPr>
          <w:rStyle w:val="FootnoteReference"/>
          <w:rFonts w:eastAsia="Times New Roman"/>
          <w:sz w:val="22"/>
          <w:szCs w:val="22"/>
        </w:rPr>
        <w:footnoteReference w:id="8"/>
      </w:r>
      <w:r w:rsidRPr="00E30700">
        <w:rPr>
          <w:rFonts w:eastAsia="Times New Roman"/>
          <w:sz w:val="22"/>
          <w:szCs w:val="22"/>
        </w:rPr>
        <w:t xml:space="preserve"> </w:t>
      </w:r>
    </w:p>
    <w:p w14:paraId="51E4B695" w14:textId="77777777" w:rsidR="00E30700" w:rsidRPr="00E30700" w:rsidRDefault="00E30700" w:rsidP="00E30700">
      <w:pPr>
        <w:spacing w:line="360" w:lineRule="auto"/>
        <w:rPr>
          <w:rFonts w:eastAsia="Times New Roman"/>
          <w:sz w:val="22"/>
          <w:szCs w:val="22"/>
        </w:rPr>
      </w:pPr>
    </w:p>
    <w:p w14:paraId="4E3D5748" w14:textId="77777777" w:rsidR="00E30700" w:rsidRPr="00E30700" w:rsidRDefault="00E30700" w:rsidP="00E30700">
      <w:pPr>
        <w:spacing w:line="360" w:lineRule="auto"/>
        <w:rPr>
          <w:rFonts w:eastAsia="Times New Roman"/>
          <w:sz w:val="22"/>
          <w:szCs w:val="22"/>
        </w:rPr>
      </w:pPr>
      <w:r w:rsidRPr="00E30700">
        <w:rPr>
          <w:rFonts w:eastAsia="Times New Roman"/>
          <w:sz w:val="22"/>
          <w:szCs w:val="22"/>
        </w:rPr>
        <w:t xml:space="preserve">It is crucial that consumers be protected from predatory loan products. However, financial services can be a crucial element of helping families cope with the inevitable ups and downs in their financial lives. Therefore, it is not enough to limit the availability of bad products; we must replace them with better options. </w:t>
      </w:r>
    </w:p>
    <w:p w14:paraId="224A473D" w14:textId="77777777" w:rsidR="00E30700" w:rsidRPr="00E30700" w:rsidRDefault="00E30700" w:rsidP="00E30700">
      <w:pPr>
        <w:spacing w:line="360" w:lineRule="auto"/>
        <w:rPr>
          <w:rFonts w:eastAsia="Times New Roman"/>
          <w:sz w:val="22"/>
          <w:szCs w:val="22"/>
        </w:rPr>
      </w:pPr>
    </w:p>
    <w:p w14:paraId="169BC016" w14:textId="08299E0F" w:rsidR="00E30700" w:rsidRPr="00E30700" w:rsidRDefault="00411B50" w:rsidP="00E30700">
      <w:pPr>
        <w:spacing w:line="360" w:lineRule="auto"/>
        <w:rPr>
          <w:sz w:val="22"/>
          <w:szCs w:val="22"/>
        </w:rPr>
      </w:pPr>
      <w:r>
        <w:rPr>
          <w:rFonts w:eastAsia="Times New Roman"/>
          <w:sz w:val="22"/>
          <w:szCs w:val="22"/>
        </w:rPr>
        <w:t xml:space="preserve">The Center for Financial Services' (CFSI) </w:t>
      </w:r>
      <w:r w:rsidRPr="00E30700">
        <w:rPr>
          <w:rFonts w:eastAsia="Times New Roman"/>
          <w:sz w:val="22"/>
          <w:szCs w:val="22"/>
        </w:rPr>
        <w:t xml:space="preserve">Compass Principles </w:t>
      </w:r>
      <w:r w:rsidRPr="00E30700">
        <w:rPr>
          <w:sz w:val="22"/>
          <w:szCs w:val="22"/>
        </w:rPr>
        <w:t>– Embrace inclusion, Build trust, Promote success, and Create opportunity</w:t>
      </w:r>
      <w:r w:rsidR="0052531F">
        <w:rPr>
          <w:sz w:val="22"/>
          <w:szCs w:val="22"/>
        </w:rPr>
        <w:t xml:space="preserve"> </w:t>
      </w:r>
      <w:r w:rsidR="003E6CF7">
        <w:rPr>
          <w:sz w:val="22"/>
          <w:szCs w:val="22"/>
        </w:rPr>
        <w:t>– provide standards for excellence in the design and delivery of financial services.</w:t>
      </w:r>
      <w:r w:rsidR="0052531F" w:rsidRPr="00E30700">
        <w:rPr>
          <w:rStyle w:val="FootnoteReference"/>
          <w:sz w:val="22"/>
          <w:szCs w:val="22"/>
        </w:rPr>
        <w:footnoteReference w:id="9"/>
      </w:r>
      <w:r w:rsidR="0052531F">
        <w:rPr>
          <w:sz w:val="22"/>
          <w:szCs w:val="22"/>
        </w:rPr>
        <w:t xml:space="preserve">  To meet these standards, providers must strive </w:t>
      </w:r>
      <w:r w:rsidR="00E30700" w:rsidRPr="00E30700">
        <w:rPr>
          <w:sz w:val="22"/>
          <w:szCs w:val="22"/>
        </w:rPr>
        <w:t xml:space="preserve">to help solve the real financial challenges that people face. Consider, for example, those millions of Americans </w:t>
      </w:r>
      <w:r w:rsidR="00E30700" w:rsidRPr="00E30700">
        <w:rPr>
          <w:sz w:val="22"/>
          <w:szCs w:val="22"/>
        </w:rPr>
        <w:lastRenderedPageBreak/>
        <w:t xml:space="preserve">living with no financial cushion. Their need for immediate liquidity, certainty and control make alternative financial services attractive. </w:t>
      </w:r>
    </w:p>
    <w:p w14:paraId="7024C60F" w14:textId="77777777" w:rsidR="00E30700" w:rsidRPr="00E30700" w:rsidRDefault="00E30700" w:rsidP="00E30700">
      <w:pPr>
        <w:spacing w:line="360" w:lineRule="auto"/>
        <w:rPr>
          <w:sz w:val="22"/>
          <w:szCs w:val="22"/>
        </w:rPr>
      </w:pPr>
    </w:p>
    <w:p w14:paraId="4DCF24E2" w14:textId="28717964" w:rsidR="00E30700" w:rsidRPr="00E30700" w:rsidRDefault="00E30700" w:rsidP="00E30700">
      <w:pPr>
        <w:spacing w:line="360" w:lineRule="auto"/>
        <w:rPr>
          <w:sz w:val="22"/>
          <w:szCs w:val="22"/>
        </w:rPr>
      </w:pPr>
      <w:r w:rsidRPr="00E30700">
        <w:rPr>
          <w:sz w:val="22"/>
          <w:szCs w:val="22"/>
        </w:rPr>
        <w:t>Payday loan borrowers have bank accounts, by definition, because the lender requires the borrower to provide a post-dated check as collateral. Today, however, checking accounts work best for households who can maintain a minimum balance, not for those whose accounts fluctuate up and down around zero. For households who need to know exactly how much they can spend real-time, checking accounts can be a frustrating source of risk in the form of potential overdraft and bounced check fees. Checks take days to clear, whereas prepaid cards, money orders and cash are immediate</w:t>
      </w:r>
      <w:r w:rsidR="006449AE">
        <w:rPr>
          <w:sz w:val="22"/>
          <w:szCs w:val="22"/>
        </w:rPr>
        <w:t>. They are also more</w:t>
      </w:r>
      <w:r w:rsidRPr="00E30700">
        <w:rPr>
          <w:sz w:val="22"/>
          <w:szCs w:val="22"/>
        </w:rPr>
        <w:t xml:space="preserve"> precise. With cash, the consumer knows down to the penny exactly how much money she has at any given moment, critical data for someone living paycheck to paycheck. Many banking products are not designed to provide this level of control. Alternative products often are. </w:t>
      </w:r>
    </w:p>
    <w:p w14:paraId="1EC6E0A0" w14:textId="77777777" w:rsidR="00E30700" w:rsidRPr="00E30700" w:rsidRDefault="00E30700" w:rsidP="00E30700">
      <w:pPr>
        <w:spacing w:line="360" w:lineRule="auto"/>
        <w:rPr>
          <w:rFonts w:eastAsia="Times New Roman"/>
          <w:sz w:val="22"/>
          <w:szCs w:val="22"/>
        </w:rPr>
      </w:pPr>
    </w:p>
    <w:p w14:paraId="4EA40A87" w14:textId="4D6E68DC" w:rsidR="00E30700" w:rsidRPr="00E30700" w:rsidRDefault="00E30700" w:rsidP="00E30700">
      <w:pPr>
        <w:spacing w:line="360" w:lineRule="auto"/>
        <w:rPr>
          <w:rFonts w:eastAsia="Times New Roman"/>
          <w:sz w:val="22"/>
          <w:szCs w:val="22"/>
        </w:rPr>
      </w:pPr>
      <w:r w:rsidRPr="00E30700">
        <w:rPr>
          <w:rFonts w:eastAsia="Times New Roman"/>
          <w:sz w:val="22"/>
          <w:szCs w:val="22"/>
        </w:rPr>
        <w:t xml:space="preserve">Over the last several years, several banks have entered the underserved marketplace with new products designed to offer greater immediate liquidity, certainty and control. This is to be applauded. However, the market environment offers disincentives to innovate: there is meaningful regulatory and reputational risk to getting it wrong. Providers do not have much room to experiment given the high level of scrutiny and criticism that any solution is subject to. Even solutions that are well intentioned or that represent improvements on existing products </w:t>
      </w:r>
      <w:r w:rsidR="00382E56">
        <w:rPr>
          <w:rFonts w:eastAsia="Times New Roman"/>
          <w:sz w:val="22"/>
          <w:szCs w:val="22"/>
        </w:rPr>
        <w:t xml:space="preserve">can </w:t>
      </w:r>
      <w:r w:rsidRPr="00E30700">
        <w:rPr>
          <w:rFonts w:eastAsia="Times New Roman"/>
          <w:sz w:val="22"/>
          <w:szCs w:val="22"/>
        </w:rPr>
        <w:t>have trouble finding sufficient growth capital and generating a wide range of business partners. As a result, while we have seen significant improvements in payments products for underserved consumers, the small dollar credit market remains uncompetitive, as many potential investors and lenders stay on the sidelines out of fear of being tagged as predatory lenders, in spite of the lure of the revenue opportunity.</w:t>
      </w:r>
    </w:p>
    <w:p w14:paraId="0634C3EC" w14:textId="77777777" w:rsidR="00E30700" w:rsidRPr="00E30700" w:rsidRDefault="00E30700" w:rsidP="00E30700">
      <w:pPr>
        <w:spacing w:line="360" w:lineRule="auto"/>
        <w:rPr>
          <w:rFonts w:eastAsia="Times New Roman"/>
          <w:sz w:val="22"/>
          <w:szCs w:val="22"/>
        </w:rPr>
      </w:pPr>
    </w:p>
    <w:p w14:paraId="314CF746" w14:textId="77777777" w:rsidR="00E30700" w:rsidRPr="00E30700" w:rsidRDefault="00E30700" w:rsidP="00E30700">
      <w:pPr>
        <w:spacing w:line="360" w:lineRule="auto"/>
        <w:rPr>
          <w:rFonts w:eastAsia="Times New Roman"/>
          <w:sz w:val="22"/>
          <w:szCs w:val="22"/>
        </w:rPr>
      </w:pPr>
      <w:r w:rsidRPr="00E30700">
        <w:rPr>
          <w:rFonts w:eastAsia="Times New Roman"/>
          <w:sz w:val="22"/>
          <w:szCs w:val="22"/>
        </w:rPr>
        <w:t>There are a handful of high quality products in the marketplace that responsibly meet consumers’ short-term liquidity needs, but these products are still small-scale relative to demand.</w:t>
      </w:r>
      <w:r w:rsidRPr="00E30700">
        <w:rPr>
          <w:rStyle w:val="FootnoteReference"/>
          <w:rFonts w:eastAsia="Times New Roman"/>
          <w:sz w:val="22"/>
          <w:szCs w:val="22"/>
        </w:rPr>
        <w:footnoteReference w:id="10"/>
      </w:r>
      <w:r w:rsidRPr="00E30700">
        <w:rPr>
          <w:rFonts w:eastAsia="Times New Roman"/>
          <w:sz w:val="22"/>
          <w:szCs w:val="22"/>
        </w:rPr>
        <w:t xml:space="preserve"> The lack of widely available, high quality credit options presents a major supply gap in the marketplace and is a significant pain point for underserved consumers.</w:t>
      </w:r>
    </w:p>
    <w:p w14:paraId="70B6F74B" w14:textId="77777777" w:rsidR="00E30700" w:rsidRPr="00E30700" w:rsidRDefault="00E30700" w:rsidP="00E30700">
      <w:pPr>
        <w:spacing w:line="360" w:lineRule="auto"/>
        <w:rPr>
          <w:rFonts w:eastAsia="Times New Roman"/>
          <w:sz w:val="22"/>
          <w:szCs w:val="22"/>
        </w:rPr>
      </w:pPr>
    </w:p>
    <w:p w14:paraId="3639E14C" w14:textId="77777777" w:rsidR="00E30700" w:rsidRPr="00E30700" w:rsidRDefault="00E30700" w:rsidP="00E30700">
      <w:pPr>
        <w:spacing w:line="360" w:lineRule="auto"/>
        <w:rPr>
          <w:sz w:val="22"/>
          <w:szCs w:val="22"/>
        </w:rPr>
      </w:pPr>
      <w:r w:rsidRPr="00E30700">
        <w:rPr>
          <w:sz w:val="22"/>
          <w:szCs w:val="22"/>
        </w:rPr>
        <w:lastRenderedPageBreak/>
        <w:t>That said</w:t>
      </w:r>
      <w:proofErr w:type="gramStart"/>
      <w:r w:rsidRPr="00E30700">
        <w:rPr>
          <w:sz w:val="22"/>
          <w:szCs w:val="22"/>
        </w:rPr>
        <w:t>,</w:t>
      </w:r>
      <w:proofErr w:type="gramEnd"/>
      <w:r w:rsidRPr="00E30700">
        <w:rPr>
          <w:sz w:val="22"/>
          <w:szCs w:val="22"/>
        </w:rPr>
        <w:t xml:space="preserve"> it would be a mistake to define this supply gap purely in terms of the number of people who are underserved. In fact, it could be argued that many borrowers are </w:t>
      </w:r>
      <w:proofErr w:type="spellStart"/>
      <w:r w:rsidRPr="00E30700">
        <w:rPr>
          <w:sz w:val="22"/>
          <w:szCs w:val="22"/>
        </w:rPr>
        <w:t>overserved</w:t>
      </w:r>
      <w:proofErr w:type="spellEnd"/>
      <w:r w:rsidRPr="00E30700">
        <w:rPr>
          <w:sz w:val="22"/>
          <w:szCs w:val="22"/>
        </w:rPr>
        <w:t>. Instead, we need to understand that the relevant supply gap is an absence of products that are designed to build consumer financial health.</w:t>
      </w:r>
    </w:p>
    <w:p w14:paraId="6584ED8F" w14:textId="77777777" w:rsidR="00E30700" w:rsidRPr="00E30700" w:rsidRDefault="00E30700" w:rsidP="00E30700">
      <w:pPr>
        <w:spacing w:line="360" w:lineRule="auto"/>
        <w:rPr>
          <w:sz w:val="22"/>
          <w:szCs w:val="22"/>
        </w:rPr>
      </w:pPr>
    </w:p>
    <w:p w14:paraId="379A75B2" w14:textId="12B0E5DD" w:rsidR="00E30700" w:rsidRPr="00E30700" w:rsidRDefault="00E30700" w:rsidP="00E30700">
      <w:pPr>
        <w:spacing w:line="360" w:lineRule="auto"/>
        <w:rPr>
          <w:rFonts w:eastAsia="Times New Roman"/>
          <w:sz w:val="22"/>
          <w:szCs w:val="22"/>
        </w:rPr>
      </w:pPr>
      <w:r w:rsidRPr="00E30700">
        <w:rPr>
          <w:rFonts w:eastAsia="Times New Roman"/>
          <w:sz w:val="22"/>
          <w:szCs w:val="22"/>
        </w:rPr>
        <w:t>Financial health comes about when an individual’s daily systems help him or her to build resilience and pursue opportunities. Financial services that build financial health do more than facilitate a specific desired transaction in exchange for a fee. They facilitate that transaction in a way that leaves the customer better off, whether that means greater stability or more freedom to pursue their dreams. For example, three quarters of Americans have a savings account</w:t>
      </w:r>
      <w:r w:rsidR="00BB3A3B">
        <w:rPr>
          <w:rFonts w:eastAsia="Times New Roman"/>
          <w:sz w:val="22"/>
          <w:szCs w:val="22"/>
        </w:rPr>
        <w:t>, but</w:t>
      </w:r>
      <w:r w:rsidRPr="00E30700">
        <w:rPr>
          <w:rFonts w:eastAsia="Times New Roman"/>
          <w:sz w:val="22"/>
          <w:szCs w:val="22"/>
        </w:rPr>
        <w:t xml:space="preserve"> more than half do not have a planned savings habit and </w:t>
      </w:r>
      <w:r w:rsidR="00BB3A3B">
        <w:rPr>
          <w:rFonts w:eastAsia="Times New Roman"/>
          <w:sz w:val="22"/>
          <w:szCs w:val="22"/>
        </w:rPr>
        <w:t>more than a quarter have less than $1,000 in liquid savings</w:t>
      </w:r>
      <w:r w:rsidRPr="00E30700">
        <w:rPr>
          <w:rFonts w:eastAsia="Times New Roman"/>
          <w:sz w:val="22"/>
          <w:szCs w:val="22"/>
        </w:rPr>
        <w:t>.</w:t>
      </w:r>
      <w:r w:rsidR="00A67CFF" w:rsidRPr="00E30700">
        <w:rPr>
          <w:rStyle w:val="FootnoteReference"/>
          <w:rFonts w:eastAsia="Times New Roman"/>
          <w:sz w:val="22"/>
          <w:szCs w:val="22"/>
        </w:rPr>
        <w:footnoteReference w:id="11"/>
      </w:r>
      <w:r w:rsidRPr="00E30700">
        <w:rPr>
          <w:rFonts w:eastAsia="Times New Roman"/>
          <w:sz w:val="22"/>
          <w:szCs w:val="22"/>
        </w:rPr>
        <w:t xml:space="preserve"> This demonstrates a serious mismatch between what providers offer, which is a safe place to store funds, and what consumers need, which is more support in</w:t>
      </w:r>
      <w:r w:rsidR="00382E56">
        <w:rPr>
          <w:rFonts w:eastAsia="Times New Roman"/>
          <w:sz w:val="22"/>
          <w:szCs w:val="22"/>
        </w:rPr>
        <w:t xml:space="preserve"> building, using and replenishing a buffer account</w:t>
      </w:r>
      <w:r w:rsidRPr="00E30700">
        <w:rPr>
          <w:rFonts w:eastAsia="Times New Roman"/>
          <w:sz w:val="22"/>
          <w:szCs w:val="22"/>
        </w:rPr>
        <w:t xml:space="preserve">. In the case of credit, borrowers need more than access to cash when they come up short. They need budgeting advice, ways to build their credit scores and guardrails that prevent </w:t>
      </w:r>
      <w:proofErr w:type="spellStart"/>
      <w:r w:rsidRPr="00E30700">
        <w:rPr>
          <w:rFonts w:eastAsia="Times New Roman"/>
          <w:sz w:val="22"/>
          <w:szCs w:val="22"/>
        </w:rPr>
        <w:t>overindebtedness</w:t>
      </w:r>
      <w:proofErr w:type="spellEnd"/>
      <w:r w:rsidRPr="00E30700">
        <w:rPr>
          <w:rFonts w:eastAsia="Times New Roman"/>
          <w:sz w:val="22"/>
          <w:szCs w:val="22"/>
        </w:rPr>
        <w:t>.</w:t>
      </w:r>
    </w:p>
    <w:p w14:paraId="3BA1F2F9" w14:textId="77777777" w:rsidR="00E30700" w:rsidRPr="00E30700" w:rsidRDefault="00E30700" w:rsidP="00E30700">
      <w:pPr>
        <w:spacing w:line="360" w:lineRule="auto"/>
        <w:rPr>
          <w:rFonts w:eastAsia="Times New Roman"/>
          <w:sz w:val="22"/>
          <w:szCs w:val="22"/>
        </w:rPr>
      </w:pPr>
    </w:p>
    <w:p w14:paraId="4EF314F8" w14:textId="77777777" w:rsidR="00E30700" w:rsidRPr="00E30700" w:rsidRDefault="00E30700" w:rsidP="00E30700">
      <w:pPr>
        <w:spacing w:line="360" w:lineRule="auto"/>
        <w:rPr>
          <w:rFonts w:eastAsia="Times New Roman"/>
          <w:sz w:val="22"/>
          <w:szCs w:val="22"/>
        </w:rPr>
      </w:pPr>
      <w:r w:rsidRPr="00E30700">
        <w:rPr>
          <w:rFonts w:eastAsia="Times New Roman"/>
          <w:sz w:val="22"/>
          <w:szCs w:val="22"/>
        </w:rPr>
        <w:t>It will take significant innovation in the marketplace to align products with the true consumer need.</w:t>
      </w:r>
    </w:p>
    <w:p w14:paraId="5E78581E" w14:textId="77777777" w:rsidR="00E30700" w:rsidRPr="00E30700" w:rsidRDefault="00E30700" w:rsidP="00E30700">
      <w:pPr>
        <w:spacing w:line="360" w:lineRule="auto"/>
        <w:rPr>
          <w:rFonts w:eastAsia="Times New Roman"/>
          <w:sz w:val="22"/>
          <w:szCs w:val="22"/>
        </w:rPr>
      </w:pPr>
    </w:p>
    <w:p w14:paraId="49D95190" w14:textId="35FD8F7F" w:rsidR="00E30700" w:rsidRPr="00E30700" w:rsidRDefault="00E30700" w:rsidP="00E30700">
      <w:pPr>
        <w:pStyle w:val="CommentText"/>
        <w:spacing w:line="360" w:lineRule="auto"/>
        <w:rPr>
          <w:rFonts w:ascii="Times New Roman" w:hAnsi="Times New Roman" w:cs="Times New Roman"/>
          <w:sz w:val="22"/>
          <w:szCs w:val="22"/>
        </w:rPr>
      </w:pPr>
      <w:r w:rsidRPr="00E30700">
        <w:rPr>
          <w:rFonts w:ascii="Times New Roman" w:eastAsia="Times New Roman" w:hAnsi="Times New Roman" w:cs="Times New Roman"/>
          <w:sz w:val="22"/>
          <w:szCs w:val="22"/>
        </w:rPr>
        <w:t>The Center for Financial Services Innovation (CFSI) is the authority on consumer financial health, leading a network of committed financial services innovators to build better consumer products and practices. Our mission is to improve the financial health of Americans, especially the underserved, by shaping a robust and innovative financial services marketplace with increased access to higher quality products and practices. Through our Compass Principles and a lineup of proprietary research, insights and events, CFSI informs, advises, and connects members of its network to seed the innovation that will transform the financial services landscape.</w:t>
      </w:r>
      <w:r w:rsidRPr="00E30700">
        <w:rPr>
          <w:rFonts w:ascii="Times New Roman" w:hAnsi="Times New Roman" w:cs="Times New Roman"/>
          <w:sz w:val="22"/>
          <w:szCs w:val="22"/>
        </w:rPr>
        <w:t xml:space="preserve"> </w:t>
      </w:r>
    </w:p>
    <w:p w14:paraId="0AEF3EA5" w14:textId="7CB4E31D" w:rsidR="0003653D" w:rsidRPr="009C7CB5" w:rsidRDefault="00E30700" w:rsidP="00520B28">
      <w:pPr>
        <w:spacing w:line="360" w:lineRule="auto"/>
        <w:rPr>
          <w:rFonts w:eastAsia="Times New Roman"/>
          <w:sz w:val="22"/>
          <w:szCs w:val="22"/>
        </w:rPr>
      </w:pPr>
      <w:r w:rsidRPr="00E30700">
        <w:rPr>
          <w:rFonts w:eastAsia="Times New Roman"/>
          <w:sz w:val="22"/>
          <w:szCs w:val="22"/>
        </w:rPr>
        <w:br/>
        <w:t xml:space="preserve">We believe finance can be a force for good in people’s lives, and that serving the needs of consumers responsibly is ultimately more profitable for the financial services industry. Our vision is a </w:t>
      </w:r>
      <w:proofErr w:type="gramStart"/>
      <w:r w:rsidRPr="00E30700">
        <w:rPr>
          <w:rFonts w:eastAsia="Times New Roman"/>
          <w:sz w:val="22"/>
          <w:szCs w:val="22"/>
        </w:rPr>
        <w:t>financially-healthy</w:t>
      </w:r>
      <w:proofErr w:type="gramEnd"/>
      <w:r w:rsidRPr="00E30700">
        <w:rPr>
          <w:rFonts w:eastAsia="Times New Roman"/>
          <w:sz w:val="22"/>
          <w:szCs w:val="22"/>
        </w:rPr>
        <w:t xml:space="preserve"> America where people’s daily financial systems help them to build resilience and pursue opportunities. </w:t>
      </w:r>
    </w:p>
    <w:sectPr w:rsidR="0003653D" w:rsidRPr="009C7CB5" w:rsidSect="00C55A94">
      <w:footerReference w:type="even" r:id="rId7"/>
      <w:footerReference w:type="default" r:id="rId8"/>
      <w:headerReference w:type="first" r:id="rId9"/>
      <w:footerReference w:type="firs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EF532" w14:textId="77777777" w:rsidR="00CD3832" w:rsidRDefault="00CD3832" w:rsidP="003543F4">
      <w:r>
        <w:separator/>
      </w:r>
    </w:p>
  </w:endnote>
  <w:endnote w:type="continuationSeparator" w:id="0">
    <w:p w14:paraId="1B40006C" w14:textId="77777777" w:rsidR="00CD3832" w:rsidRDefault="00CD3832" w:rsidP="00354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84202" w14:textId="77777777" w:rsidR="00CD3832" w:rsidRDefault="00CD3832" w:rsidP="00725B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43EEAD" w14:textId="77777777" w:rsidR="00CD3832" w:rsidRDefault="00CD3832" w:rsidP="006B3CB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A296F" w14:textId="77777777" w:rsidR="00CD3832" w:rsidRPr="00D36692" w:rsidRDefault="00CD3832" w:rsidP="00725BFC">
    <w:pPr>
      <w:pStyle w:val="Footer"/>
      <w:framePr w:wrap="around" w:vAnchor="text" w:hAnchor="margin" w:xAlign="right" w:y="1"/>
      <w:rPr>
        <w:rStyle w:val="PageNumber"/>
        <w:sz w:val="22"/>
        <w:szCs w:val="22"/>
      </w:rPr>
    </w:pPr>
    <w:r w:rsidRPr="00D36692">
      <w:rPr>
        <w:rStyle w:val="PageNumber"/>
        <w:sz w:val="22"/>
        <w:szCs w:val="22"/>
      </w:rPr>
      <w:fldChar w:fldCharType="begin"/>
    </w:r>
    <w:r w:rsidRPr="00D36692">
      <w:rPr>
        <w:rStyle w:val="PageNumber"/>
        <w:sz w:val="22"/>
        <w:szCs w:val="22"/>
      </w:rPr>
      <w:instrText xml:space="preserve">PAGE  </w:instrText>
    </w:r>
    <w:r w:rsidRPr="00D36692">
      <w:rPr>
        <w:rStyle w:val="PageNumber"/>
        <w:sz w:val="22"/>
        <w:szCs w:val="22"/>
      </w:rPr>
      <w:fldChar w:fldCharType="separate"/>
    </w:r>
    <w:r w:rsidR="00DF4C53">
      <w:rPr>
        <w:rStyle w:val="PageNumber"/>
        <w:noProof/>
        <w:sz w:val="22"/>
        <w:szCs w:val="22"/>
      </w:rPr>
      <w:t>4</w:t>
    </w:r>
    <w:r w:rsidRPr="00D36692">
      <w:rPr>
        <w:rStyle w:val="PageNumber"/>
        <w:sz w:val="22"/>
        <w:szCs w:val="22"/>
      </w:rPr>
      <w:fldChar w:fldCharType="end"/>
    </w:r>
  </w:p>
  <w:p w14:paraId="1911814D" w14:textId="77777777" w:rsidR="00CD3832" w:rsidRDefault="00CD3832" w:rsidP="006B3CBD">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289BE" w14:textId="7C9E7ACD" w:rsidR="00CD3832" w:rsidRDefault="00CD3832">
    <w:pPr>
      <w:pStyle w:val="Footer"/>
    </w:pPr>
    <w:r>
      <w:rPr>
        <w:noProof/>
      </w:rPr>
      <w:drawing>
        <wp:inline distT="0" distB="0" distL="0" distR="0" wp14:anchorId="66DA056E" wp14:editId="5B4BEB5B">
          <wp:extent cx="5486400" cy="761365"/>
          <wp:effectExtent l="0" t="0" r="0" b="635"/>
          <wp:docPr id="4" name="letterhead-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footer.jpg"/>
                  <pic:cNvPicPr/>
                </pic:nvPicPr>
                <pic:blipFill>
                  <a:blip r:embed="rId1" r:link="rId2">
                    <a:extLst>
                      <a:ext uri="{28A0092B-C50C-407E-A947-70E740481C1C}">
                        <a14:useLocalDpi xmlns:a14="http://schemas.microsoft.com/office/drawing/2010/main" val="0"/>
                      </a:ext>
                    </a:extLst>
                  </a:blip>
                  <a:stretch>
                    <a:fillRect/>
                  </a:stretch>
                </pic:blipFill>
                <pic:spPr>
                  <a:xfrm>
                    <a:off x="0" y="0"/>
                    <a:ext cx="5486400" cy="761365"/>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35B79" w14:textId="77777777" w:rsidR="00CD3832" w:rsidRDefault="00CD3832" w:rsidP="003543F4">
      <w:r>
        <w:separator/>
      </w:r>
    </w:p>
  </w:footnote>
  <w:footnote w:type="continuationSeparator" w:id="0">
    <w:p w14:paraId="7EA140C0" w14:textId="77777777" w:rsidR="00CD3832" w:rsidRDefault="00CD3832" w:rsidP="003543F4">
      <w:r>
        <w:continuationSeparator/>
      </w:r>
    </w:p>
  </w:footnote>
  <w:footnote w:id="1">
    <w:p w14:paraId="32E20519" w14:textId="17B1445F" w:rsidR="00CD3832" w:rsidRPr="00052EA7" w:rsidRDefault="00CD3832" w:rsidP="00E30700">
      <w:pPr>
        <w:pStyle w:val="FootnoteText"/>
        <w:rPr>
          <w:rFonts w:ascii="Times New Roman" w:hAnsi="Times New Roman" w:cs="Times New Roman"/>
          <w:sz w:val="20"/>
          <w:szCs w:val="20"/>
        </w:rPr>
      </w:pPr>
      <w:r w:rsidRPr="00823E8A">
        <w:rPr>
          <w:rStyle w:val="FootnoteReference"/>
          <w:rFonts w:ascii="Times New Roman" w:hAnsi="Times New Roman" w:cs="Times New Roman"/>
          <w:sz w:val="20"/>
          <w:szCs w:val="20"/>
        </w:rPr>
        <w:footnoteRef/>
      </w:r>
      <w:r w:rsidRPr="00823E8A">
        <w:rPr>
          <w:rFonts w:ascii="Times New Roman" w:hAnsi="Times New Roman" w:cs="Times New Roman"/>
          <w:sz w:val="20"/>
          <w:szCs w:val="20"/>
        </w:rPr>
        <w:t xml:space="preserve"> </w:t>
      </w:r>
      <w:proofErr w:type="spellStart"/>
      <w:proofErr w:type="gramStart"/>
      <w:r w:rsidRPr="00052EA7">
        <w:rPr>
          <w:rFonts w:ascii="Times New Roman" w:hAnsi="Times New Roman" w:cs="Times New Roman"/>
          <w:sz w:val="20"/>
          <w:szCs w:val="20"/>
        </w:rPr>
        <w:t>Gutman</w:t>
      </w:r>
      <w:proofErr w:type="spellEnd"/>
      <w:r w:rsidRPr="00052EA7">
        <w:rPr>
          <w:rFonts w:ascii="Times New Roman" w:hAnsi="Times New Roman" w:cs="Times New Roman"/>
          <w:sz w:val="20"/>
          <w:szCs w:val="20"/>
        </w:rPr>
        <w:t xml:space="preserve">, </w:t>
      </w:r>
      <w:proofErr w:type="spellStart"/>
      <w:r w:rsidRPr="00052EA7">
        <w:rPr>
          <w:rFonts w:ascii="Times New Roman" w:hAnsi="Times New Roman" w:cs="Times New Roman"/>
          <w:sz w:val="20"/>
          <w:szCs w:val="20"/>
        </w:rPr>
        <w:t>Garon</w:t>
      </w:r>
      <w:proofErr w:type="spellEnd"/>
      <w:r w:rsidRPr="00052EA7">
        <w:rPr>
          <w:rFonts w:ascii="Times New Roman" w:hAnsi="Times New Roman" w:cs="Times New Roman"/>
          <w:sz w:val="20"/>
          <w:szCs w:val="20"/>
        </w:rPr>
        <w:t>, Hogarth and Schneider, “Understanding and Improving Financial Health in America</w:t>
      </w:r>
      <w:r w:rsidR="00290AF0">
        <w:rPr>
          <w:rFonts w:ascii="Times New Roman" w:hAnsi="Times New Roman" w:cs="Times New Roman"/>
          <w:sz w:val="20"/>
          <w:szCs w:val="20"/>
        </w:rPr>
        <w:t>,</w:t>
      </w:r>
      <w:r w:rsidRPr="00052EA7">
        <w:rPr>
          <w:rFonts w:ascii="Times New Roman" w:hAnsi="Times New Roman" w:cs="Times New Roman"/>
          <w:sz w:val="20"/>
          <w:szCs w:val="20"/>
        </w:rPr>
        <w:t>”</w:t>
      </w:r>
      <w:r w:rsidR="00290AF0">
        <w:rPr>
          <w:rFonts w:ascii="Times New Roman" w:hAnsi="Times New Roman" w:cs="Times New Roman"/>
          <w:sz w:val="20"/>
          <w:szCs w:val="20"/>
        </w:rPr>
        <w:t xml:space="preserve"> March 2015,</w:t>
      </w:r>
      <w:r w:rsidRPr="00052EA7">
        <w:rPr>
          <w:rFonts w:ascii="Times New Roman" w:hAnsi="Times New Roman" w:cs="Times New Roman"/>
          <w:sz w:val="20"/>
          <w:szCs w:val="20"/>
        </w:rPr>
        <w:t xml:space="preserve"> available at </w:t>
      </w:r>
      <w:hyperlink r:id="rId1" w:history="1">
        <w:r w:rsidRPr="00052EA7">
          <w:rPr>
            <w:rStyle w:val="Hyperlink"/>
            <w:rFonts w:ascii="Times New Roman" w:hAnsi="Times New Roman" w:cs="Times New Roman"/>
            <w:sz w:val="20"/>
            <w:szCs w:val="20"/>
          </w:rPr>
          <w:t>http://www.cfsinnovation.com/Document-Library/Understanding-Consumer-Financial-Health</w:t>
        </w:r>
      </w:hyperlink>
      <w:r w:rsidRPr="00052EA7">
        <w:rPr>
          <w:rFonts w:ascii="Times New Roman" w:hAnsi="Times New Roman" w:cs="Times New Roman"/>
          <w:sz w:val="20"/>
          <w:szCs w:val="20"/>
        </w:rPr>
        <w:t>.</w:t>
      </w:r>
      <w:proofErr w:type="gramEnd"/>
      <w:r w:rsidRPr="00052EA7">
        <w:rPr>
          <w:rFonts w:ascii="Times New Roman" w:hAnsi="Times New Roman" w:cs="Times New Roman"/>
          <w:sz w:val="20"/>
          <w:szCs w:val="20"/>
        </w:rPr>
        <w:t xml:space="preserve"> </w:t>
      </w:r>
      <w:r w:rsidR="00C23EC9">
        <w:rPr>
          <w:rFonts w:ascii="Times New Roman" w:hAnsi="Times New Roman" w:cs="Times New Roman"/>
          <w:sz w:val="20"/>
          <w:szCs w:val="20"/>
        </w:rPr>
        <w:t>Also see the Federal Reserve Board’s “</w:t>
      </w:r>
      <w:r w:rsidR="00C23EC9" w:rsidRPr="00052EA7">
        <w:rPr>
          <w:rFonts w:ascii="Times New Roman" w:hAnsi="Times New Roman" w:cs="Times New Roman"/>
          <w:sz w:val="20"/>
          <w:szCs w:val="20"/>
        </w:rPr>
        <w:t>Report on the Economic Well-Being of U.S. Households in 2013,”</w:t>
      </w:r>
      <w:r w:rsidR="00C23EC9" w:rsidRPr="005F3312">
        <w:rPr>
          <w:rFonts w:ascii="Times New Roman" w:hAnsi="Times New Roman" w:cs="Times New Roman"/>
          <w:sz w:val="20"/>
          <w:szCs w:val="20"/>
        </w:rPr>
        <w:t xml:space="preserve"> </w:t>
      </w:r>
      <w:r w:rsidR="00C23EC9">
        <w:rPr>
          <w:rFonts w:ascii="Times New Roman" w:hAnsi="Times New Roman" w:cs="Times New Roman"/>
          <w:sz w:val="20"/>
          <w:szCs w:val="20"/>
        </w:rPr>
        <w:t xml:space="preserve">July 2014, </w:t>
      </w:r>
      <w:r w:rsidR="00C23EC9" w:rsidRPr="005F3312">
        <w:rPr>
          <w:rFonts w:ascii="Times New Roman" w:hAnsi="Times New Roman" w:cs="Times New Roman"/>
          <w:sz w:val="20"/>
          <w:szCs w:val="20"/>
        </w:rPr>
        <w:t xml:space="preserve">available at </w:t>
      </w:r>
      <w:hyperlink r:id="rId2" w:history="1">
        <w:r w:rsidR="00C23EC9" w:rsidRPr="003719B7">
          <w:rPr>
            <w:rStyle w:val="Hyperlink"/>
            <w:rFonts w:ascii="Times New Roman" w:hAnsi="Times New Roman" w:cs="Times New Roman"/>
            <w:sz w:val="20"/>
            <w:szCs w:val="20"/>
          </w:rPr>
          <w:t>http://www.federalreserve.gov/econresdata/2013-report-economic-well-being-us-households-201407.pdf</w:t>
        </w:r>
      </w:hyperlink>
      <w:r w:rsidR="00C23EC9" w:rsidRPr="00C23EC9">
        <w:rPr>
          <w:rFonts w:ascii="Times New Roman" w:hAnsi="Times New Roman" w:cs="Times New Roman"/>
          <w:sz w:val="20"/>
          <w:szCs w:val="20"/>
        </w:rPr>
        <w:t>, for a comprehensive look at household finances.</w:t>
      </w:r>
    </w:p>
  </w:footnote>
  <w:footnote w:id="2">
    <w:p w14:paraId="3D9A12E5" w14:textId="2FAB64D1" w:rsidR="00CD3832" w:rsidRPr="005F0224" w:rsidRDefault="00CD3832" w:rsidP="00CE4C9B">
      <w:pPr>
        <w:pStyle w:val="Heading1"/>
        <w:shd w:val="clear" w:color="auto" w:fill="FFFFFF"/>
        <w:spacing w:before="0"/>
        <w:rPr>
          <w:rFonts w:ascii="Times New Roman" w:hAnsi="Times New Roman" w:cs="Times New Roman"/>
          <w:b w:val="0"/>
          <w:color w:val="auto"/>
          <w:sz w:val="20"/>
          <w:szCs w:val="20"/>
        </w:rPr>
      </w:pPr>
      <w:r w:rsidRPr="00102398">
        <w:rPr>
          <w:rStyle w:val="FootnoteReference"/>
          <w:rFonts w:ascii="Times New Roman" w:hAnsi="Times New Roman" w:cs="Times New Roman"/>
          <w:b w:val="0"/>
          <w:color w:val="auto"/>
          <w:sz w:val="20"/>
          <w:szCs w:val="20"/>
        </w:rPr>
        <w:footnoteRef/>
      </w:r>
      <w:r w:rsidRPr="00102398">
        <w:rPr>
          <w:rFonts w:ascii="Times New Roman" w:hAnsi="Times New Roman" w:cs="Times New Roman"/>
          <w:b w:val="0"/>
          <w:color w:val="auto"/>
          <w:sz w:val="20"/>
          <w:szCs w:val="20"/>
        </w:rPr>
        <w:t xml:space="preserve"> </w:t>
      </w:r>
      <w:r w:rsidR="00D13E7C">
        <w:rPr>
          <w:rFonts w:ascii="Times New Roman" w:hAnsi="Times New Roman" w:cs="Times New Roman"/>
          <w:b w:val="0"/>
          <w:color w:val="auto"/>
          <w:sz w:val="20"/>
          <w:szCs w:val="20"/>
        </w:rPr>
        <w:t>S</w:t>
      </w:r>
      <w:r w:rsidRPr="00102398">
        <w:rPr>
          <w:rFonts w:ascii="Times New Roman" w:eastAsiaTheme="minorEastAsia" w:hAnsi="Times New Roman" w:cs="Times New Roman"/>
          <w:b w:val="0"/>
          <w:bCs w:val="0"/>
          <w:color w:val="auto"/>
          <w:sz w:val="20"/>
          <w:szCs w:val="20"/>
        </w:rPr>
        <w:t>everal studies</w:t>
      </w:r>
      <w:r w:rsidRPr="00052EA7">
        <w:rPr>
          <w:rFonts w:ascii="Times New Roman" w:eastAsiaTheme="minorEastAsia" w:hAnsi="Times New Roman" w:cs="Times New Roman"/>
          <w:b w:val="0"/>
          <w:bCs w:val="0"/>
          <w:color w:val="auto"/>
          <w:sz w:val="20"/>
          <w:szCs w:val="20"/>
        </w:rPr>
        <w:t xml:space="preserve"> h</w:t>
      </w:r>
      <w:r w:rsidR="00B05735">
        <w:rPr>
          <w:rFonts w:ascii="Times New Roman" w:eastAsiaTheme="minorEastAsia" w:hAnsi="Times New Roman" w:cs="Times New Roman"/>
          <w:b w:val="0"/>
          <w:bCs w:val="0"/>
          <w:color w:val="auto"/>
          <w:sz w:val="20"/>
          <w:szCs w:val="20"/>
        </w:rPr>
        <w:t xml:space="preserve">ave explored income volatility: </w:t>
      </w:r>
      <w:proofErr w:type="spellStart"/>
      <w:r w:rsidRPr="00052EA7">
        <w:rPr>
          <w:rFonts w:ascii="Times New Roman" w:eastAsiaTheme="minorEastAsia" w:hAnsi="Times New Roman" w:cs="Times New Roman"/>
          <w:b w:val="0"/>
          <w:bCs w:val="0"/>
          <w:color w:val="auto"/>
          <w:sz w:val="20"/>
          <w:szCs w:val="20"/>
        </w:rPr>
        <w:t>Dynan</w:t>
      </w:r>
      <w:proofErr w:type="spellEnd"/>
      <w:r w:rsidRPr="00052EA7">
        <w:rPr>
          <w:rFonts w:ascii="Times New Roman" w:eastAsiaTheme="minorEastAsia" w:hAnsi="Times New Roman" w:cs="Times New Roman"/>
          <w:b w:val="0"/>
          <w:bCs w:val="0"/>
          <w:color w:val="auto"/>
          <w:sz w:val="20"/>
          <w:szCs w:val="20"/>
        </w:rPr>
        <w:t xml:space="preserve">, Elmendorf and </w:t>
      </w:r>
      <w:proofErr w:type="spellStart"/>
      <w:r w:rsidRPr="00052EA7">
        <w:rPr>
          <w:rFonts w:ascii="Times New Roman" w:eastAsiaTheme="minorEastAsia" w:hAnsi="Times New Roman" w:cs="Times New Roman"/>
          <w:b w:val="0"/>
          <w:bCs w:val="0"/>
          <w:color w:val="auto"/>
          <w:sz w:val="20"/>
          <w:szCs w:val="20"/>
        </w:rPr>
        <w:t>Sichel</w:t>
      </w:r>
      <w:proofErr w:type="spellEnd"/>
      <w:r w:rsidRPr="00052EA7">
        <w:rPr>
          <w:rFonts w:ascii="Times New Roman" w:eastAsiaTheme="minorEastAsia" w:hAnsi="Times New Roman" w:cs="Times New Roman"/>
          <w:b w:val="0"/>
          <w:bCs w:val="0"/>
          <w:color w:val="auto"/>
          <w:sz w:val="20"/>
          <w:szCs w:val="20"/>
        </w:rPr>
        <w:t>, “The Evolution of Household Income Volatility</w:t>
      </w:r>
      <w:r w:rsidR="004A5BA1">
        <w:rPr>
          <w:rFonts w:ascii="Times New Roman" w:eastAsiaTheme="minorEastAsia" w:hAnsi="Times New Roman" w:cs="Times New Roman"/>
          <w:b w:val="0"/>
          <w:bCs w:val="0"/>
          <w:color w:val="auto"/>
          <w:sz w:val="20"/>
          <w:szCs w:val="20"/>
        </w:rPr>
        <w:t>,</w:t>
      </w:r>
      <w:r w:rsidRPr="00052EA7">
        <w:rPr>
          <w:rFonts w:ascii="Times New Roman" w:eastAsiaTheme="minorEastAsia" w:hAnsi="Times New Roman" w:cs="Times New Roman"/>
          <w:b w:val="0"/>
          <w:bCs w:val="0"/>
          <w:color w:val="auto"/>
          <w:sz w:val="20"/>
          <w:szCs w:val="20"/>
        </w:rPr>
        <w:t>”</w:t>
      </w:r>
      <w:r w:rsidR="004A5BA1">
        <w:rPr>
          <w:rFonts w:ascii="Times New Roman" w:eastAsiaTheme="minorEastAsia" w:hAnsi="Times New Roman" w:cs="Times New Roman"/>
          <w:b w:val="0"/>
          <w:bCs w:val="0"/>
          <w:color w:val="auto"/>
          <w:sz w:val="20"/>
          <w:szCs w:val="20"/>
        </w:rPr>
        <w:t xml:space="preserve"> </w:t>
      </w:r>
      <w:r w:rsidRPr="00052EA7">
        <w:rPr>
          <w:rFonts w:ascii="Times New Roman" w:eastAsiaTheme="minorEastAsia" w:hAnsi="Times New Roman" w:cs="Times New Roman"/>
          <w:b w:val="0"/>
          <w:bCs w:val="0"/>
          <w:color w:val="auto"/>
          <w:sz w:val="20"/>
          <w:szCs w:val="20"/>
        </w:rPr>
        <w:t xml:space="preserve">available at </w:t>
      </w:r>
      <w:hyperlink r:id="rId3" w:history="1">
        <w:r w:rsidRPr="003719B7">
          <w:rPr>
            <w:rStyle w:val="Hyperlink"/>
            <w:rFonts w:ascii="Times New Roman" w:eastAsia="Times New Roman" w:hAnsi="Times New Roman" w:cs="Times New Roman"/>
            <w:b w:val="0"/>
            <w:sz w:val="20"/>
            <w:szCs w:val="20"/>
          </w:rPr>
          <w:t>http://www.brookings.edu/research/papers/2013/01/household-income-volatility-dynan</w:t>
        </w:r>
      </w:hyperlink>
      <w:r>
        <w:rPr>
          <w:rFonts w:ascii="Times New Roman" w:eastAsia="Times New Roman" w:hAnsi="Times New Roman" w:cs="Times New Roman"/>
          <w:b w:val="0"/>
          <w:color w:val="auto"/>
          <w:sz w:val="20"/>
          <w:szCs w:val="20"/>
        </w:rPr>
        <w:t xml:space="preserve">; </w:t>
      </w:r>
      <w:r w:rsidR="000E4BD9">
        <w:rPr>
          <w:rFonts w:ascii="Times New Roman" w:eastAsia="Times New Roman" w:hAnsi="Times New Roman" w:cs="Times New Roman"/>
          <w:b w:val="0"/>
          <w:color w:val="auto"/>
          <w:sz w:val="20"/>
          <w:szCs w:val="20"/>
        </w:rPr>
        <w:t xml:space="preserve">and </w:t>
      </w:r>
      <w:proofErr w:type="spellStart"/>
      <w:r w:rsidRPr="00052EA7">
        <w:rPr>
          <w:rFonts w:ascii="Times New Roman" w:hAnsi="Times New Roman" w:cs="Times New Roman"/>
          <w:b w:val="0"/>
          <w:color w:val="auto"/>
          <w:sz w:val="20"/>
          <w:szCs w:val="20"/>
        </w:rPr>
        <w:t>Morduch</w:t>
      </w:r>
      <w:proofErr w:type="spellEnd"/>
      <w:r w:rsidRPr="00052EA7">
        <w:rPr>
          <w:rFonts w:ascii="Times New Roman" w:hAnsi="Times New Roman" w:cs="Times New Roman"/>
          <w:b w:val="0"/>
          <w:color w:val="auto"/>
          <w:sz w:val="20"/>
          <w:szCs w:val="20"/>
        </w:rPr>
        <w:t xml:space="preserve"> and Schneider, “Spikes and Dips: How Income Uncertainty Affects Households,”</w:t>
      </w:r>
      <w:r w:rsidR="00846A63">
        <w:rPr>
          <w:rFonts w:ascii="Times New Roman" w:hAnsi="Times New Roman" w:cs="Times New Roman"/>
          <w:b w:val="0"/>
          <w:color w:val="auto"/>
          <w:sz w:val="20"/>
          <w:szCs w:val="20"/>
        </w:rPr>
        <w:t xml:space="preserve"> </w:t>
      </w:r>
      <w:r w:rsidRPr="00052EA7">
        <w:rPr>
          <w:rFonts w:ascii="Times New Roman" w:hAnsi="Times New Roman" w:cs="Times New Roman"/>
          <w:b w:val="0"/>
          <w:color w:val="auto"/>
          <w:sz w:val="20"/>
          <w:szCs w:val="20"/>
        </w:rPr>
        <w:t>available at</w:t>
      </w:r>
      <w:r>
        <w:rPr>
          <w:rFonts w:ascii="Times New Roman" w:hAnsi="Times New Roman" w:cs="Times New Roman"/>
          <w:b w:val="0"/>
          <w:color w:val="auto"/>
          <w:sz w:val="20"/>
          <w:szCs w:val="20"/>
        </w:rPr>
        <w:t xml:space="preserve"> </w:t>
      </w:r>
      <w:hyperlink r:id="rId4" w:history="1">
        <w:r w:rsidRPr="003719B7">
          <w:rPr>
            <w:rStyle w:val="Hyperlink"/>
            <w:rFonts w:ascii="Times New Roman" w:hAnsi="Times New Roman" w:cs="Times New Roman"/>
            <w:b w:val="0"/>
            <w:sz w:val="20"/>
            <w:szCs w:val="20"/>
          </w:rPr>
          <w:t>http://www.usfinancialdiaries.org/issue1-spikes/</w:t>
        </w:r>
      </w:hyperlink>
      <w:r>
        <w:rPr>
          <w:rFonts w:ascii="Times New Roman" w:hAnsi="Times New Roman" w:cs="Times New Roman"/>
          <w:b w:val="0"/>
          <w:color w:val="auto"/>
          <w:sz w:val="20"/>
          <w:szCs w:val="20"/>
        </w:rPr>
        <w:t xml:space="preserve">. </w:t>
      </w:r>
    </w:p>
  </w:footnote>
  <w:footnote w:id="3">
    <w:p w14:paraId="71D4A114" w14:textId="6DEE9E50" w:rsidR="00CD3832" w:rsidRPr="0079210E" w:rsidRDefault="00CD3832" w:rsidP="0079210E">
      <w:pPr>
        <w:rPr>
          <w:rFonts w:ascii="Times" w:eastAsia="Times New Roman" w:hAnsi="Times"/>
          <w:sz w:val="20"/>
          <w:szCs w:val="20"/>
        </w:rPr>
      </w:pPr>
      <w:r w:rsidRPr="00823E8A">
        <w:rPr>
          <w:rStyle w:val="FootnoteReference"/>
          <w:sz w:val="20"/>
          <w:szCs w:val="20"/>
        </w:rPr>
        <w:footnoteRef/>
      </w:r>
      <w:r w:rsidRPr="00823E8A">
        <w:rPr>
          <w:sz w:val="20"/>
          <w:szCs w:val="20"/>
        </w:rPr>
        <w:t xml:space="preserve"> </w:t>
      </w:r>
      <w:bookmarkStart w:id="0" w:name="_GoBack"/>
      <w:r w:rsidR="00DF4C53" w:rsidRPr="00DF4C53">
        <w:rPr>
          <w:sz w:val="20"/>
          <w:szCs w:val="20"/>
        </w:rPr>
        <w:t>According to the Federal Reserve’s Report on the Economic Wellbeing of US Households, o</w:t>
      </w:r>
      <w:r w:rsidR="00DF4C53" w:rsidRPr="00DF4C53">
        <w:rPr>
          <w:sz w:val="20"/>
          <w:szCs w:val="20"/>
        </w:rPr>
        <w:t xml:space="preserve">ver 50% could not come up with $400 to cover big expenses—like a medical bill or a car repair. </w:t>
      </w:r>
      <w:r w:rsidR="0079210E" w:rsidRPr="00DF4C53">
        <w:rPr>
          <w:sz w:val="20"/>
          <w:szCs w:val="20"/>
        </w:rPr>
        <w:t xml:space="preserve">According to CFED, 44% of the country lives with </w:t>
      </w:r>
      <w:r w:rsidR="0079210E" w:rsidRPr="00DF4C53">
        <w:rPr>
          <w:rFonts w:eastAsia="Times New Roman"/>
          <w:sz w:val="20"/>
          <w:szCs w:val="20"/>
        </w:rPr>
        <w:t>less than three</w:t>
      </w:r>
      <w:r w:rsidR="0079210E" w:rsidRPr="0079210E">
        <w:rPr>
          <w:rFonts w:ascii="Times" w:eastAsia="Times New Roman" w:hAnsi="Times"/>
          <w:sz w:val="20"/>
          <w:szCs w:val="20"/>
        </w:rPr>
        <w:t xml:space="preserve"> </w:t>
      </w:r>
      <w:bookmarkEnd w:id="0"/>
      <w:r w:rsidR="0079210E" w:rsidRPr="0079210E">
        <w:rPr>
          <w:rFonts w:ascii="Times" w:eastAsia="Times New Roman" w:hAnsi="Times"/>
          <w:sz w:val="20"/>
          <w:szCs w:val="20"/>
        </w:rPr>
        <w:t>months’ worth of saving</w:t>
      </w:r>
      <w:r w:rsidR="00E61561">
        <w:rPr>
          <w:rFonts w:ascii="Times" w:eastAsia="Times New Roman" w:hAnsi="Times"/>
          <w:sz w:val="20"/>
          <w:szCs w:val="20"/>
        </w:rPr>
        <w:t>, available at</w:t>
      </w:r>
      <w:r w:rsidR="0079210E">
        <w:rPr>
          <w:rFonts w:ascii="Times" w:eastAsia="Times New Roman" w:hAnsi="Times"/>
          <w:sz w:val="20"/>
          <w:szCs w:val="20"/>
        </w:rPr>
        <w:t xml:space="preserve"> </w:t>
      </w:r>
      <w:hyperlink r:id="rId5" w:history="1">
        <w:r w:rsidR="0079210E" w:rsidRPr="003719B7">
          <w:rPr>
            <w:rStyle w:val="Hyperlink"/>
            <w:rFonts w:ascii="Times" w:eastAsia="Times New Roman" w:hAnsi="Times"/>
            <w:sz w:val="20"/>
            <w:szCs w:val="20"/>
          </w:rPr>
          <w:t>http://assetsandopportunity.org/scorecard/assets/2015_Scorecard_Report_FinanciaAssetsIncome.pdf</w:t>
        </w:r>
      </w:hyperlink>
      <w:r w:rsidR="0079210E">
        <w:rPr>
          <w:rFonts w:ascii="Times" w:eastAsia="Times New Roman" w:hAnsi="Times"/>
          <w:sz w:val="20"/>
          <w:szCs w:val="20"/>
        </w:rPr>
        <w:t xml:space="preserve">. </w:t>
      </w:r>
    </w:p>
  </w:footnote>
  <w:footnote w:id="4">
    <w:p w14:paraId="053469E4" w14:textId="330F7869" w:rsidR="00CD3832" w:rsidRPr="00823E8A" w:rsidRDefault="00CD3832" w:rsidP="00E30700">
      <w:pPr>
        <w:pStyle w:val="FootnoteText"/>
        <w:rPr>
          <w:rFonts w:ascii="Times New Roman" w:hAnsi="Times New Roman" w:cs="Times New Roman"/>
          <w:sz w:val="20"/>
          <w:szCs w:val="20"/>
        </w:rPr>
      </w:pPr>
      <w:r w:rsidRPr="00823E8A">
        <w:rPr>
          <w:rStyle w:val="FootnoteReference"/>
          <w:rFonts w:ascii="Times New Roman" w:hAnsi="Times New Roman" w:cs="Times New Roman"/>
          <w:sz w:val="20"/>
          <w:szCs w:val="20"/>
        </w:rPr>
        <w:footnoteRef/>
      </w:r>
      <w:r w:rsidRPr="00823E8A">
        <w:rPr>
          <w:rFonts w:ascii="Times New Roman" w:hAnsi="Times New Roman" w:cs="Times New Roman"/>
          <w:sz w:val="20"/>
          <w:szCs w:val="20"/>
        </w:rPr>
        <w:t xml:space="preserve"> </w:t>
      </w:r>
      <w:r w:rsidR="00EF22C1">
        <w:rPr>
          <w:rFonts w:ascii="Times New Roman" w:hAnsi="Times New Roman" w:cs="Times New Roman"/>
          <w:sz w:val="20"/>
          <w:szCs w:val="20"/>
        </w:rPr>
        <w:t xml:space="preserve">The CFPB recently found that 26 million consumers are credit invisible, meaning they do not have any credit record, and another 19 million have </w:t>
      </w:r>
      <w:proofErr w:type="spellStart"/>
      <w:r w:rsidR="00EF22C1">
        <w:rPr>
          <w:rFonts w:ascii="Times New Roman" w:hAnsi="Times New Roman" w:cs="Times New Roman"/>
          <w:sz w:val="20"/>
          <w:szCs w:val="20"/>
        </w:rPr>
        <w:t>unscored</w:t>
      </w:r>
      <w:proofErr w:type="spellEnd"/>
      <w:r w:rsidR="00EF22C1">
        <w:rPr>
          <w:rFonts w:ascii="Times New Roman" w:hAnsi="Times New Roman" w:cs="Times New Roman"/>
          <w:sz w:val="20"/>
          <w:szCs w:val="20"/>
        </w:rPr>
        <w:t xml:space="preserve"> credit records</w:t>
      </w:r>
      <w:r w:rsidR="00FB1A9E">
        <w:rPr>
          <w:rFonts w:ascii="Times New Roman" w:hAnsi="Times New Roman" w:cs="Times New Roman"/>
          <w:sz w:val="20"/>
          <w:szCs w:val="20"/>
        </w:rPr>
        <w:t xml:space="preserve">, available at </w:t>
      </w:r>
      <w:hyperlink r:id="rId6" w:history="1">
        <w:r w:rsidR="00EF22C1" w:rsidRPr="003719B7">
          <w:rPr>
            <w:rStyle w:val="Hyperlink"/>
            <w:rFonts w:ascii="Times New Roman" w:hAnsi="Times New Roman" w:cs="Times New Roman"/>
            <w:sz w:val="20"/>
            <w:szCs w:val="20"/>
          </w:rPr>
          <w:t>http://files.consumerfinance.gov/f/201505_cfpb_data-point-credit-invisibles.pdf</w:t>
        </w:r>
      </w:hyperlink>
      <w:r w:rsidR="00EF22C1">
        <w:rPr>
          <w:rFonts w:ascii="Times New Roman" w:hAnsi="Times New Roman" w:cs="Times New Roman"/>
          <w:sz w:val="20"/>
          <w:szCs w:val="20"/>
        </w:rPr>
        <w:t xml:space="preserve">. </w:t>
      </w:r>
    </w:p>
  </w:footnote>
  <w:footnote w:id="5">
    <w:p w14:paraId="46CEF96A" w14:textId="17C17920" w:rsidR="00CD3832" w:rsidRPr="00823E8A" w:rsidRDefault="00CD3832" w:rsidP="00E30700">
      <w:pPr>
        <w:pStyle w:val="FootnoteText"/>
        <w:rPr>
          <w:rFonts w:ascii="Times New Roman" w:hAnsi="Times New Roman" w:cs="Times New Roman"/>
          <w:sz w:val="20"/>
          <w:szCs w:val="20"/>
        </w:rPr>
      </w:pPr>
      <w:r w:rsidRPr="00823E8A">
        <w:rPr>
          <w:rStyle w:val="FootnoteReference"/>
          <w:rFonts w:ascii="Times New Roman" w:hAnsi="Times New Roman" w:cs="Times New Roman"/>
          <w:sz w:val="20"/>
          <w:szCs w:val="20"/>
        </w:rPr>
        <w:footnoteRef/>
      </w:r>
      <w:r w:rsidRPr="00823E8A">
        <w:rPr>
          <w:rFonts w:ascii="Times New Roman" w:hAnsi="Times New Roman" w:cs="Times New Roman"/>
          <w:sz w:val="20"/>
          <w:szCs w:val="20"/>
        </w:rPr>
        <w:t xml:space="preserve"> </w:t>
      </w:r>
      <w:r w:rsidR="004E4901">
        <w:rPr>
          <w:rFonts w:ascii="Times New Roman" w:hAnsi="Times New Roman" w:cs="Times New Roman"/>
          <w:sz w:val="20"/>
          <w:szCs w:val="20"/>
        </w:rPr>
        <w:t xml:space="preserve">Fifteen million borrowers a year, according to </w:t>
      </w:r>
      <w:r w:rsidR="0024684D">
        <w:rPr>
          <w:rFonts w:ascii="Times New Roman" w:hAnsi="Times New Roman" w:cs="Times New Roman"/>
          <w:sz w:val="20"/>
          <w:szCs w:val="20"/>
        </w:rPr>
        <w:t>Levy and Sledge, “A Complex Portrait: An Examination of Small-Dollar Credit Consumers</w:t>
      </w:r>
      <w:r w:rsidR="005F371A">
        <w:rPr>
          <w:rFonts w:ascii="Times New Roman" w:hAnsi="Times New Roman" w:cs="Times New Roman"/>
          <w:sz w:val="20"/>
          <w:szCs w:val="20"/>
        </w:rPr>
        <w:t>,</w:t>
      </w:r>
      <w:r w:rsidR="0024684D">
        <w:rPr>
          <w:rFonts w:ascii="Times New Roman" w:hAnsi="Times New Roman" w:cs="Times New Roman"/>
          <w:sz w:val="20"/>
          <w:szCs w:val="20"/>
        </w:rPr>
        <w:t>”</w:t>
      </w:r>
      <w:r w:rsidR="005F371A">
        <w:rPr>
          <w:rFonts w:ascii="Times New Roman" w:hAnsi="Times New Roman" w:cs="Times New Roman"/>
          <w:sz w:val="20"/>
          <w:szCs w:val="20"/>
        </w:rPr>
        <w:t xml:space="preserve"> </w:t>
      </w:r>
      <w:proofErr w:type="gramStart"/>
      <w:r w:rsidR="005F371A">
        <w:rPr>
          <w:rFonts w:ascii="Times New Roman" w:hAnsi="Times New Roman" w:cs="Times New Roman"/>
          <w:sz w:val="20"/>
          <w:szCs w:val="20"/>
        </w:rPr>
        <w:t>August,</w:t>
      </w:r>
      <w:proofErr w:type="gramEnd"/>
      <w:r w:rsidR="005F371A">
        <w:rPr>
          <w:rFonts w:ascii="Times New Roman" w:hAnsi="Times New Roman" w:cs="Times New Roman"/>
          <w:sz w:val="20"/>
          <w:szCs w:val="20"/>
        </w:rPr>
        <w:t xml:space="preserve"> 2012,</w:t>
      </w:r>
      <w:r w:rsidR="0024684D">
        <w:rPr>
          <w:rFonts w:ascii="Times New Roman" w:hAnsi="Times New Roman" w:cs="Times New Roman"/>
          <w:sz w:val="20"/>
          <w:szCs w:val="20"/>
        </w:rPr>
        <w:t xml:space="preserve"> available at </w:t>
      </w:r>
      <w:hyperlink r:id="rId7" w:history="1">
        <w:r w:rsidR="00AD7A3E" w:rsidRPr="003719B7">
          <w:rPr>
            <w:rStyle w:val="Hyperlink"/>
            <w:rFonts w:ascii="Times New Roman" w:hAnsi="Times New Roman" w:cs="Times New Roman"/>
            <w:sz w:val="20"/>
            <w:szCs w:val="20"/>
          </w:rPr>
          <w:t>http://www.cfsinnovation.com/CMSPages/GetFile.aspx?guid=f937e096-abcf-46cc-84d0-1c6c3aec2d3e</w:t>
        </w:r>
      </w:hyperlink>
      <w:r w:rsidR="00AD7A3E">
        <w:rPr>
          <w:rFonts w:ascii="Times New Roman" w:hAnsi="Times New Roman" w:cs="Times New Roman"/>
          <w:sz w:val="20"/>
          <w:szCs w:val="20"/>
        </w:rPr>
        <w:t>.</w:t>
      </w:r>
    </w:p>
  </w:footnote>
  <w:footnote w:id="6">
    <w:p w14:paraId="3BDBAC76" w14:textId="4B7350DD" w:rsidR="00CD3832" w:rsidRPr="00823E8A" w:rsidRDefault="00CD3832" w:rsidP="00E30700">
      <w:pPr>
        <w:pStyle w:val="FootnoteText"/>
        <w:rPr>
          <w:rFonts w:ascii="Times New Roman" w:hAnsi="Times New Roman" w:cs="Times New Roman"/>
          <w:sz w:val="20"/>
          <w:szCs w:val="20"/>
        </w:rPr>
      </w:pPr>
      <w:r w:rsidRPr="00823E8A">
        <w:rPr>
          <w:rStyle w:val="FootnoteReference"/>
          <w:rFonts w:ascii="Times New Roman" w:hAnsi="Times New Roman" w:cs="Times New Roman"/>
          <w:sz w:val="20"/>
          <w:szCs w:val="20"/>
        </w:rPr>
        <w:footnoteRef/>
      </w:r>
      <w:r w:rsidR="00725C22">
        <w:rPr>
          <w:rFonts w:ascii="Times New Roman" w:hAnsi="Times New Roman" w:cs="Times New Roman"/>
          <w:sz w:val="20"/>
          <w:szCs w:val="20"/>
        </w:rPr>
        <w:t xml:space="preserve"> </w:t>
      </w:r>
      <w:proofErr w:type="spellStart"/>
      <w:r w:rsidR="00725C22">
        <w:rPr>
          <w:rFonts w:ascii="Times New Roman" w:hAnsi="Times New Roman" w:cs="Times New Roman"/>
          <w:sz w:val="20"/>
          <w:szCs w:val="20"/>
        </w:rPr>
        <w:t>Wolkowitz</w:t>
      </w:r>
      <w:proofErr w:type="spellEnd"/>
      <w:r w:rsidR="00725C22">
        <w:rPr>
          <w:rFonts w:ascii="Times New Roman" w:hAnsi="Times New Roman" w:cs="Times New Roman"/>
          <w:sz w:val="20"/>
          <w:szCs w:val="20"/>
        </w:rPr>
        <w:t xml:space="preserve">, “2013 Financially Underserved Market Size,” </w:t>
      </w:r>
      <w:proofErr w:type="gramStart"/>
      <w:r w:rsidR="00725C22">
        <w:rPr>
          <w:rFonts w:ascii="Times New Roman" w:hAnsi="Times New Roman" w:cs="Times New Roman"/>
          <w:sz w:val="20"/>
          <w:szCs w:val="20"/>
        </w:rPr>
        <w:t>December,</w:t>
      </w:r>
      <w:proofErr w:type="gramEnd"/>
      <w:r w:rsidR="00725C22">
        <w:rPr>
          <w:rFonts w:ascii="Times New Roman" w:hAnsi="Times New Roman" w:cs="Times New Roman"/>
          <w:sz w:val="20"/>
          <w:szCs w:val="20"/>
        </w:rPr>
        <w:t xml:space="preserve"> 2014, available at</w:t>
      </w:r>
      <w:r w:rsidRPr="00823E8A">
        <w:rPr>
          <w:rFonts w:ascii="Times New Roman" w:hAnsi="Times New Roman" w:cs="Times New Roman"/>
          <w:sz w:val="20"/>
          <w:szCs w:val="20"/>
        </w:rPr>
        <w:t xml:space="preserve"> </w:t>
      </w:r>
      <w:hyperlink r:id="rId8" w:history="1">
        <w:r w:rsidR="00725C22" w:rsidRPr="003719B7">
          <w:rPr>
            <w:rStyle w:val="Hyperlink"/>
            <w:rFonts w:ascii="Times New Roman" w:hAnsi="Times New Roman" w:cs="Times New Roman"/>
            <w:sz w:val="20"/>
            <w:szCs w:val="20"/>
          </w:rPr>
          <w:t>http://www.cfsinnovation.com/Document-Library/2013-Financially-Underserved-Market-Size.aspx</w:t>
        </w:r>
      </w:hyperlink>
      <w:r w:rsidR="00725C22">
        <w:rPr>
          <w:rFonts w:ascii="Times New Roman" w:hAnsi="Times New Roman" w:cs="Times New Roman"/>
          <w:sz w:val="20"/>
          <w:szCs w:val="20"/>
        </w:rPr>
        <w:t xml:space="preserve">. </w:t>
      </w:r>
    </w:p>
  </w:footnote>
  <w:footnote w:id="7">
    <w:p w14:paraId="20BDE15C" w14:textId="7562C12F" w:rsidR="00CD3832" w:rsidRPr="00823E8A" w:rsidRDefault="00CD3832" w:rsidP="00725BFC">
      <w:pPr>
        <w:rPr>
          <w:sz w:val="20"/>
          <w:szCs w:val="20"/>
        </w:rPr>
      </w:pPr>
      <w:r w:rsidRPr="00823E8A">
        <w:rPr>
          <w:rStyle w:val="FootnoteReference"/>
          <w:sz w:val="20"/>
          <w:szCs w:val="20"/>
        </w:rPr>
        <w:footnoteRef/>
      </w:r>
      <w:r w:rsidRPr="00823E8A">
        <w:rPr>
          <w:sz w:val="20"/>
          <w:szCs w:val="20"/>
        </w:rPr>
        <w:t xml:space="preserve"> </w:t>
      </w:r>
      <w:r w:rsidR="00186597">
        <w:rPr>
          <w:sz w:val="20"/>
          <w:szCs w:val="20"/>
        </w:rPr>
        <w:t>Levy and Sledge, “A Complex Portrait.”</w:t>
      </w:r>
      <w:r w:rsidR="00090601">
        <w:rPr>
          <w:sz w:val="20"/>
          <w:szCs w:val="20"/>
        </w:rPr>
        <w:t xml:space="preserve"> </w:t>
      </w:r>
      <w:r w:rsidR="00090601">
        <w:rPr>
          <w:rStyle w:val="Hyperlink"/>
          <w:color w:val="auto"/>
          <w:sz w:val="20"/>
          <w:szCs w:val="20"/>
          <w:u w:val="none"/>
        </w:rPr>
        <w:t xml:space="preserve">See also, Levy and Bianchi, “Know Your Borrower: The Four Need Cases of Small Dollar Credit Consumers,” December 2013, available at </w:t>
      </w:r>
      <w:hyperlink r:id="rId9" w:history="1">
        <w:r w:rsidR="00090601" w:rsidRPr="003719B7">
          <w:rPr>
            <w:rStyle w:val="Hyperlink"/>
            <w:sz w:val="20"/>
            <w:szCs w:val="20"/>
          </w:rPr>
          <w:t>http://www.cfsinnovation.com/Document-Library/Know-Your-Borrower-The-Four-Need-Cases-of-Smal-(1</w:t>
        </w:r>
      </w:hyperlink>
      <w:r w:rsidR="00090601" w:rsidRPr="00B63C9E">
        <w:rPr>
          <w:rStyle w:val="Hyperlink"/>
          <w:color w:val="auto"/>
          <w:sz w:val="20"/>
          <w:szCs w:val="20"/>
          <w:u w:val="none"/>
        </w:rPr>
        <w:t>)</w:t>
      </w:r>
      <w:r w:rsidR="00090601">
        <w:rPr>
          <w:rStyle w:val="Hyperlink"/>
          <w:color w:val="auto"/>
          <w:sz w:val="20"/>
          <w:szCs w:val="20"/>
          <w:u w:val="none"/>
        </w:rPr>
        <w:t>.</w:t>
      </w:r>
    </w:p>
  </w:footnote>
  <w:footnote w:id="8">
    <w:p w14:paraId="3764AA8E" w14:textId="33B1AC62" w:rsidR="00B63C9E" w:rsidRPr="00090601" w:rsidRDefault="00CD3832" w:rsidP="00E30700">
      <w:pPr>
        <w:pStyle w:val="FootnoteText"/>
        <w:rPr>
          <w:rFonts w:ascii="Times New Roman" w:hAnsi="Times New Roman" w:cs="Times New Roman"/>
          <w:color w:val="0000FF" w:themeColor="hyperlink"/>
          <w:sz w:val="20"/>
          <w:szCs w:val="20"/>
        </w:rPr>
      </w:pPr>
      <w:r w:rsidRPr="00823E8A">
        <w:rPr>
          <w:rStyle w:val="FootnoteReference"/>
          <w:rFonts w:ascii="Times New Roman" w:hAnsi="Times New Roman" w:cs="Times New Roman"/>
          <w:sz w:val="20"/>
          <w:szCs w:val="20"/>
        </w:rPr>
        <w:footnoteRef/>
      </w:r>
      <w:r w:rsidR="00074269">
        <w:rPr>
          <w:rFonts w:ascii="Times New Roman" w:hAnsi="Times New Roman" w:cs="Times New Roman"/>
          <w:sz w:val="20"/>
          <w:szCs w:val="20"/>
        </w:rPr>
        <w:t xml:space="preserve"> CFPB Data Point: Payday Lending,</w:t>
      </w:r>
      <w:r w:rsidR="00A75853">
        <w:rPr>
          <w:rFonts w:ascii="Times New Roman" w:hAnsi="Times New Roman" w:cs="Times New Roman"/>
          <w:sz w:val="20"/>
          <w:szCs w:val="20"/>
        </w:rPr>
        <w:t xml:space="preserve"> March 2014</w:t>
      </w:r>
      <w:r w:rsidR="00074269">
        <w:rPr>
          <w:rFonts w:ascii="Times New Roman" w:hAnsi="Times New Roman" w:cs="Times New Roman"/>
          <w:sz w:val="20"/>
          <w:szCs w:val="20"/>
        </w:rPr>
        <w:t xml:space="preserve"> available at</w:t>
      </w:r>
      <w:r w:rsidRPr="00823E8A">
        <w:rPr>
          <w:rFonts w:ascii="Times New Roman" w:hAnsi="Times New Roman" w:cs="Times New Roman"/>
          <w:sz w:val="20"/>
          <w:szCs w:val="20"/>
        </w:rPr>
        <w:t xml:space="preserve"> </w:t>
      </w:r>
      <w:hyperlink r:id="rId10" w:history="1">
        <w:r w:rsidRPr="00823E8A">
          <w:rPr>
            <w:rStyle w:val="Hyperlink"/>
            <w:rFonts w:ascii="Times New Roman" w:hAnsi="Times New Roman" w:cs="Times New Roman"/>
            <w:sz w:val="20"/>
            <w:szCs w:val="20"/>
          </w:rPr>
          <w:t>http://files.consumerfinance.gov/f/201403_cfpb_report_payday-lending.pdf</w:t>
        </w:r>
      </w:hyperlink>
      <w:r w:rsidR="00B63C9E">
        <w:rPr>
          <w:rStyle w:val="Hyperlink"/>
          <w:rFonts w:ascii="Times New Roman" w:hAnsi="Times New Roman" w:cs="Times New Roman"/>
          <w:sz w:val="20"/>
          <w:szCs w:val="20"/>
        </w:rPr>
        <w:t>.</w:t>
      </w:r>
    </w:p>
  </w:footnote>
  <w:footnote w:id="9">
    <w:p w14:paraId="3F1A3938" w14:textId="2FD59104" w:rsidR="00CD3832" w:rsidRPr="00823E8A" w:rsidRDefault="00CD3832" w:rsidP="0052531F">
      <w:pPr>
        <w:pStyle w:val="FootnoteText"/>
        <w:rPr>
          <w:rFonts w:ascii="Times New Roman" w:hAnsi="Times New Roman" w:cs="Times New Roman"/>
          <w:sz w:val="20"/>
          <w:szCs w:val="20"/>
        </w:rPr>
      </w:pPr>
      <w:r w:rsidRPr="00823E8A">
        <w:rPr>
          <w:rStyle w:val="FootnoteReference"/>
          <w:rFonts w:ascii="Times New Roman" w:hAnsi="Times New Roman" w:cs="Times New Roman"/>
          <w:sz w:val="20"/>
          <w:szCs w:val="20"/>
        </w:rPr>
        <w:footnoteRef/>
      </w:r>
      <w:r w:rsidRPr="00823E8A">
        <w:rPr>
          <w:rFonts w:ascii="Times New Roman" w:hAnsi="Times New Roman" w:cs="Times New Roman"/>
          <w:sz w:val="20"/>
          <w:szCs w:val="20"/>
        </w:rPr>
        <w:t xml:space="preserve"> </w:t>
      </w:r>
      <w:r>
        <w:rPr>
          <w:rFonts w:ascii="Times New Roman" w:hAnsi="Times New Roman" w:cs="Times New Roman"/>
          <w:sz w:val="20"/>
          <w:szCs w:val="20"/>
        </w:rPr>
        <w:t xml:space="preserve">The Compass Guide to Small Dollar Credit lays out detailed criteria, including: ability to repay and aligning the profitability of the lender with the success of the borrower. </w:t>
      </w:r>
      <w:proofErr w:type="spellStart"/>
      <w:r>
        <w:rPr>
          <w:rFonts w:ascii="Times New Roman" w:hAnsi="Times New Roman" w:cs="Times New Roman"/>
          <w:sz w:val="20"/>
          <w:szCs w:val="20"/>
        </w:rPr>
        <w:t>Brockland</w:t>
      </w:r>
      <w:proofErr w:type="spellEnd"/>
      <w:r>
        <w:rPr>
          <w:rFonts w:ascii="Times New Roman" w:hAnsi="Times New Roman" w:cs="Times New Roman"/>
          <w:sz w:val="20"/>
          <w:szCs w:val="20"/>
        </w:rPr>
        <w:t xml:space="preserve">, Compass Guide to Small Dollar Credit, available at </w:t>
      </w:r>
      <w:hyperlink r:id="rId11" w:history="1">
        <w:r w:rsidRPr="003719B7">
          <w:rPr>
            <w:rStyle w:val="Hyperlink"/>
            <w:rFonts w:ascii="Times New Roman" w:hAnsi="Times New Roman" w:cs="Times New Roman"/>
            <w:sz w:val="20"/>
            <w:szCs w:val="20"/>
          </w:rPr>
          <w:t>www.cfsinnovation.com/Document-Library/The-Compass-Guide-to-Small-Dollar-Credit.aspx</w:t>
        </w:r>
      </w:hyperlink>
      <w:r>
        <w:rPr>
          <w:rFonts w:ascii="Times New Roman" w:hAnsi="Times New Roman" w:cs="Times New Roman"/>
          <w:sz w:val="20"/>
          <w:szCs w:val="20"/>
        </w:rPr>
        <w:t>.</w:t>
      </w:r>
    </w:p>
  </w:footnote>
  <w:footnote w:id="10">
    <w:p w14:paraId="29B8CC91" w14:textId="503559D7" w:rsidR="00CD3832" w:rsidRPr="00823E8A" w:rsidRDefault="00CD3832" w:rsidP="00E30700">
      <w:pPr>
        <w:pStyle w:val="FootnoteText"/>
        <w:rPr>
          <w:rFonts w:ascii="Times New Roman" w:hAnsi="Times New Roman" w:cs="Times New Roman"/>
          <w:sz w:val="20"/>
          <w:szCs w:val="20"/>
        </w:rPr>
      </w:pPr>
      <w:r w:rsidRPr="00823E8A">
        <w:rPr>
          <w:rStyle w:val="FootnoteReference"/>
          <w:rFonts w:ascii="Times New Roman" w:hAnsi="Times New Roman" w:cs="Times New Roman"/>
          <w:sz w:val="20"/>
          <w:szCs w:val="20"/>
        </w:rPr>
        <w:footnoteRef/>
      </w:r>
      <w:r w:rsidRPr="00823E8A">
        <w:rPr>
          <w:rFonts w:ascii="Times New Roman" w:hAnsi="Times New Roman" w:cs="Times New Roman"/>
          <w:sz w:val="20"/>
          <w:szCs w:val="20"/>
        </w:rPr>
        <w:t xml:space="preserve"> </w:t>
      </w:r>
      <w:proofErr w:type="gramStart"/>
      <w:r w:rsidRPr="00823E8A">
        <w:rPr>
          <w:rFonts w:ascii="Times New Roman" w:hAnsi="Times New Roman" w:cs="Times New Roman"/>
          <w:sz w:val="20"/>
          <w:szCs w:val="20"/>
        </w:rPr>
        <w:t>Forthcoming CFSI report.</w:t>
      </w:r>
      <w:proofErr w:type="gramEnd"/>
      <w:r w:rsidRPr="00823E8A">
        <w:rPr>
          <w:rFonts w:ascii="Times New Roman" w:hAnsi="Times New Roman" w:cs="Times New Roman"/>
          <w:sz w:val="20"/>
          <w:szCs w:val="20"/>
        </w:rPr>
        <w:t xml:space="preserve"> </w:t>
      </w:r>
      <w:r w:rsidR="00C41732">
        <w:rPr>
          <w:rFonts w:ascii="Times New Roman" w:hAnsi="Times New Roman" w:cs="Times New Roman"/>
          <w:sz w:val="20"/>
          <w:szCs w:val="20"/>
        </w:rPr>
        <w:t>Sign up for CFSI’s newsletter at cfsinnovation.com to be notified about its release.</w:t>
      </w:r>
    </w:p>
  </w:footnote>
  <w:footnote w:id="11">
    <w:p w14:paraId="0785FF14" w14:textId="77777777" w:rsidR="00A67CFF" w:rsidRPr="00823E8A" w:rsidRDefault="00A67CFF" w:rsidP="00A67CFF">
      <w:pPr>
        <w:pStyle w:val="FootnoteText"/>
        <w:rPr>
          <w:rFonts w:ascii="Times New Roman" w:hAnsi="Times New Roman" w:cs="Times New Roman"/>
          <w:sz w:val="20"/>
          <w:szCs w:val="20"/>
        </w:rPr>
      </w:pPr>
      <w:r w:rsidRPr="00823E8A">
        <w:rPr>
          <w:rStyle w:val="FootnoteReference"/>
          <w:rFonts w:ascii="Times New Roman" w:hAnsi="Times New Roman" w:cs="Times New Roman"/>
          <w:sz w:val="20"/>
          <w:szCs w:val="20"/>
        </w:rPr>
        <w:footnoteRef/>
      </w:r>
      <w:r w:rsidRPr="00823E8A">
        <w:rPr>
          <w:rFonts w:ascii="Times New Roman" w:hAnsi="Times New Roman" w:cs="Times New Roman"/>
          <w:sz w:val="20"/>
          <w:szCs w:val="20"/>
        </w:rPr>
        <w:t xml:space="preserve"> </w:t>
      </w:r>
      <w:proofErr w:type="spellStart"/>
      <w:r w:rsidRPr="00052EA7">
        <w:rPr>
          <w:rFonts w:ascii="Times New Roman" w:hAnsi="Times New Roman" w:cs="Times New Roman"/>
          <w:sz w:val="20"/>
          <w:szCs w:val="20"/>
        </w:rPr>
        <w:t>Gutman</w:t>
      </w:r>
      <w:proofErr w:type="spellEnd"/>
      <w:r w:rsidRPr="00052EA7">
        <w:rPr>
          <w:rFonts w:ascii="Times New Roman" w:hAnsi="Times New Roman" w:cs="Times New Roman"/>
          <w:sz w:val="20"/>
          <w:szCs w:val="20"/>
        </w:rPr>
        <w:t xml:space="preserve">, </w:t>
      </w:r>
      <w:proofErr w:type="spellStart"/>
      <w:r w:rsidRPr="00052EA7">
        <w:rPr>
          <w:rFonts w:ascii="Times New Roman" w:hAnsi="Times New Roman" w:cs="Times New Roman"/>
          <w:sz w:val="20"/>
          <w:szCs w:val="20"/>
        </w:rPr>
        <w:t>Garon</w:t>
      </w:r>
      <w:proofErr w:type="spellEnd"/>
      <w:r w:rsidRPr="00052EA7">
        <w:rPr>
          <w:rFonts w:ascii="Times New Roman" w:hAnsi="Times New Roman" w:cs="Times New Roman"/>
          <w:sz w:val="20"/>
          <w:szCs w:val="20"/>
        </w:rPr>
        <w:t>, Hogarth and Schneider, “Understanding and Improving Financial Health in America</w:t>
      </w:r>
      <w:r>
        <w:rPr>
          <w:rFonts w:ascii="Times New Roman" w:hAnsi="Times New Roman" w:cs="Times New Roman"/>
          <w:sz w:val="20"/>
          <w:szCs w:val="20"/>
        </w:rPr>
        <w:t>.</w:t>
      </w:r>
      <w:r w:rsidRPr="00052EA7">
        <w:rPr>
          <w:rFonts w:ascii="Times New Roman" w:hAnsi="Times New Roman" w:cs="Times New Roman"/>
          <w:sz w:val="20"/>
          <w:szCs w:val="20"/>
        </w:rPr>
        <w:t>”</w:t>
      </w:r>
      <w:r>
        <w:rPr>
          <w:rFonts w:ascii="Times New Roman" w:hAnsi="Times New Roman" w:cs="Times New Roman"/>
          <w:sz w:val="20"/>
          <w:szCs w:val="20"/>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AABF5" w14:textId="4202D5C0" w:rsidR="00CD3832" w:rsidRDefault="00CD3832">
    <w:pPr>
      <w:pStyle w:val="Header"/>
    </w:pPr>
    <w:r>
      <w:rPr>
        <w:noProof/>
      </w:rPr>
      <w:drawing>
        <wp:inline distT="0" distB="0" distL="0" distR="0" wp14:anchorId="256684C7" wp14:editId="01CEFBCC">
          <wp:extent cx="2336800" cy="406400"/>
          <wp:effectExtent l="0" t="0" r="0" b="0"/>
          <wp:docPr id="5" name="letterhead-heade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2336800" cy="406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3F4"/>
    <w:rsid w:val="000155FD"/>
    <w:rsid w:val="00016113"/>
    <w:rsid w:val="0003653D"/>
    <w:rsid w:val="00043761"/>
    <w:rsid w:val="00052EA7"/>
    <w:rsid w:val="0007156F"/>
    <w:rsid w:val="00074269"/>
    <w:rsid w:val="00090601"/>
    <w:rsid w:val="000E4BD9"/>
    <w:rsid w:val="00102398"/>
    <w:rsid w:val="00186597"/>
    <w:rsid w:val="001A1F3E"/>
    <w:rsid w:val="001C3D37"/>
    <w:rsid w:val="001C71CF"/>
    <w:rsid w:val="001E6F79"/>
    <w:rsid w:val="0024684D"/>
    <w:rsid w:val="00290AF0"/>
    <w:rsid w:val="0029483D"/>
    <w:rsid w:val="002E6606"/>
    <w:rsid w:val="002F42FA"/>
    <w:rsid w:val="003543F4"/>
    <w:rsid w:val="00382E56"/>
    <w:rsid w:val="00384C93"/>
    <w:rsid w:val="003E6CF7"/>
    <w:rsid w:val="003F5B16"/>
    <w:rsid w:val="00400D01"/>
    <w:rsid w:val="00402964"/>
    <w:rsid w:val="004070B1"/>
    <w:rsid w:val="00411B50"/>
    <w:rsid w:val="00475087"/>
    <w:rsid w:val="004863E5"/>
    <w:rsid w:val="004A5BA1"/>
    <w:rsid w:val="004D7FCA"/>
    <w:rsid w:val="004E4901"/>
    <w:rsid w:val="00513F60"/>
    <w:rsid w:val="00520B28"/>
    <w:rsid w:val="0052531F"/>
    <w:rsid w:val="005715A5"/>
    <w:rsid w:val="005933C7"/>
    <w:rsid w:val="005F0224"/>
    <w:rsid w:val="005F3312"/>
    <w:rsid w:val="005F371A"/>
    <w:rsid w:val="00616453"/>
    <w:rsid w:val="006449AE"/>
    <w:rsid w:val="006B3CBD"/>
    <w:rsid w:val="006D0CDA"/>
    <w:rsid w:val="00725BFC"/>
    <w:rsid w:val="00725C22"/>
    <w:rsid w:val="00751C94"/>
    <w:rsid w:val="007575DE"/>
    <w:rsid w:val="0079210E"/>
    <w:rsid w:val="007C6004"/>
    <w:rsid w:val="00823E8A"/>
    <w:rsid w:val="00846A63"/>
    <w:rsid w:val="00856808"/>
    <w:rsid w:val="008D26B6"/>
    <w:rsid w:val="00910D27"/>
    <w:rsid w:val="0094369C"/>
    <w:rsid w:val="0094689A"/>
    <w:rsid w:val="00953091"/>
    <w:rsid w:val="009644F9"/>
    <w:rsid w:val="009C7CB5"/>
    <w:rsid w:val="009D484E"/>
    <w:rsid w:val="00A67CFF"/>
    <w:rsid w:val="00A75853"/>
    <w:rsid w:val="00A8628D"/>
    <w:rsid w:val="00AC5979"/>
    <w:rsid w:val="00AD7A3E"/>
    <w:rsid w:val="00B05735"/>
    <w:rsid w:val="00B63C9E"/>
    <w:rsid w:val="00B860AB"/>
    <w:rsid w:val="00BB3A3B"/>
    <w:rsid w:val="00BE6326"/>
    <w:rsid w:val="00C11F13"/>
    <w:rsid w:val="00C23EC9"/>
    <w:rsid w:val="00C41732"/>
    <w:rsid w:val="00C52360"/>
    <w:rsid w:val="00C55A94"/>
    <w:rsid w:val="00CD3832"/>
    <w:rsid w:val="00CE4C9B"/>
    <w:rsid w:val="00D13E7C"/>
    <w:rsid w:val="00D36692"/>
    <w:rsid w:val="00D874A7"/>
    <w:rsid w:val="00DF4C53"/>
    <w:rsid w:val="00E30700"/>
    <w:rsid w:val="00E56259"/>
    <w:rsid w:val="00E61561"/>
    <w:rsid w:val="00EF22C1"/>
    <w:rsid w:val="00F0475B"/>
    <w:rsid w:val="00F04983"/>
    <w:rsid w:val="00FB1A9E"/>
    <w:rsid w:val="00FD2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061F9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link w:val="Heading1Char"/>
    <w:uiPriority w:val="9"/>
    <w:qFormat/>
    <w:rsid w:val="00052EA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4863E5"/>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3F4"/>
    <w:pPr>
      <w:tabs>
        <w:tab w:val="center" w:pos="4320"/>
        <w:tab w:val="right" w:pos="8640"/>
      </w:tabs>
    </w:pPr>
  </w:style>
  <w:style w:type="character" w:customStyle="1" w:styleId="HeaderChar">
    <w:name w:val="Header Char"/>
    <w:basedOn w:val="DefaultParagraphFont"/>
    <w:link w:val="Header"/>
    <w:uiPriority w:val="99"/>
    <w:rsid w:val="003543F4"/>
    <w:rPr>
      <w:lang w:eastAsia="en-US"/>
    </w:rPr>
  </w:style>
  <w:style w:type="paragraph" w:styleId="Footer">
    <w:name w:val="footer"/>
    <w:basedOn w:val="Normal"/>
    <w:link w:val="FooterChar"/>
    <w:uiPriority w:val="99"/>
    <w:unhideWhenUsed/>
    <w:rsid w:val="003543F4"/>
    <w:pPr>
      <w:tabs>
        <w:tab w:val="center" w:pos="4320"/>
        <w:tab w:val="right" w:pos="8640"/>
      </w:tabs>
    </w:pPr>
  </w:style>
  <w:style w:type="character" w:customStyle="1" w:styleId="FooterChar">
    <w:name w:val="Footer Char"/>
    <w:basedOn w:val="DefaultParagraphFont"/>
    <w:link w:val="Footer"/>
    <w:uiPriority w:val="99"/>
    <w:rsid w:val="003543F4"/>
    <w:rPr>
      <w:lang w:eastAsia="en-US"/>
    </w:rPr>
  </w:style>
  <w:style w:type="paragraph" w:styleId="BalloonText">
    <w:name w:val="Balloon Text"/>
    <w:basedOn w:val="Normal"/>
    <w:link w:val="BalloonTextChar"/>
    <w:uiPriority w:val="99"/>
    <w:semiHidden/>
    <w:unhideWhenUsed/>
    <w:rsid w:val="003543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43F4"/>
    <w:rPr>
      <w:rFonts w:ascii="Lucida Grande" w:hAnsi="Lucida Grande" w:cs="Lucida Grande"/>
      <w:sz w:val="18"/>
      <w:szCs w:val="18"/>
      <w:lang w:eastAsia="en-US"/>
    </w:rPr>
  </w:style>
  <w:style w:type="character" w:customStyle="1" w:styleId="Heading3Char">
    <w:name w:val="Heading 3 Char"/>
    <w:basedOn w:val="DefaultParagraphFont"/>
    <w:link w:val="Heading3"/>
    <w:uiPriority w:val="9"/>
    <w:rsid w:val="004863E5"/>
    <w:rPr>
      <w:rFonts w:ascii="Times" w:hAnsi="Times"/>
      <w:b/>
      <w:bCs/>
      <w:sz w:val="27"/>
      <w:szCs w:val="27"/>
      <w:lang w:eastAsia="en-US"/>
    </w:rPr>
  </w:style>
  <w:style w:type="character" w:styleId="Strong">
    <w:name w:val="Strong"/>
    <w:basedOn w:val="DefaultParagraphFont"/>
    <w:uiPriority w:val="22"/>
    <w:qFormat/>
    <w:rsid w:val="004863E5"/>
    <w:rPr>
      <w:b/>
      <w:bCs/>
    </w:rPr>
  </w:style>
  <w:style w:type="character" w:styleId="Hyperlink">
    <w:name w:val="Hyperlink"/>
    <w:basedOn w:val="DefaultParagraphFont"/>
    <w:uiPriority w:val="99"/>
    <w:unhideWhenUsed/>
    <w:rsid w:val="00E30700"/>
    <w:rPr>
      <w:color w:val="0000FF" w:themeColor="hyperlink"/>
      <w:u w:val="single"/>
    </w:rPr>
  </w:style>
  <w:style w:type="character" w:styleId="CommentReference">
    <w:name w:val="annotation reference"/>
    <w:basedOn w:val="DefaultParagraphFont"/>
    <w:uiPriority w:val="99"/>
    <w:semiHidden/>
    <w:unhideWhenUsed/>
    <w:rsid w:val="00E30700"/>
    <w:rPr>
      <w:sz w:val="18"/>
      <w:szCs w:val="18"/>
    </w:rPr>
  </w:style>
  <w:style w:type="paragraph" w:styleId="CommentText">
    <w:name w:val="annotation text"/>
    <w:basedOn w:val="Normal"/>
    <w:link w:val="CommentTextChar"/>
    <w:uiPriority w:val="99"/>
    <w:semiHidden/>
    <w:unhideWhenUsed/>
    <w:rsid w:val="00E30700"/>
    <w:rPr>
      <w:rFonts w:asciiTheme="minorHAnsi" w:hAnsiTheme="minorHAnsi" w:cstheme="minorBidi"/>
    </w:rPr>
  </w:style>
  <w:style w:type="character" w:customStyle="1" w:styleId="CommentTextChar">
    <w:name w:val="Comment Text Char"/>
    <w:basedOn w:val="DefaultParagraphFont"/>
    <w:link w:val="CommentText"/>
    <w:uiPriority w:val="99"/>
    <w:semiHidden/>
    <w:rsid w:val="00E30700"/>
    <w:rPr>
      <w:rFonts w:asciiTheme="minorHAnsi" w:hAnsiTheme="minorHAnsi" w:cstheme="minorBidi"/>
      <w:lang w:eastAsia="en-US"/>
    </w:rPr>
  </w:style>
  <w:style w:type="paragraph" w:styleId="FootnoteText">
    <w:name w:val="footnote text"/>
    <w:basedOn w:val="Normal"/>
    <w:link w:val="FootnoteTextChar"/>
    <w:uiPriority w:val="99"/>
    <w:unhideWhenUsed/>
    <w:rsid w:val="00E30700"/>
    <w:rPr>
      <w:rFonts w:asciiTheme="minorHAnsi" w:hAnsiTheme="minorHAnsi" w:cstheme="minorBidi"/>
    </w:rPr>
  </w:style>
  <w:style w:type="character" w:customStyle="1" w:styleId="FootnoteTextChar">
    <w:name w:val="Footnote Text Char"/>
    <w:basedOn w:val="DefaultParagraphFont"/>
    <w:link w:val="FootnoteText"/>
    <w:uiPriority w:val="99"/>
    <w:rsid w:val="00E30700"/>
    <w:rPr>
      <w:rFonts w:asciiTheme="minorHAnsi" w:hAnsiTheme="minorHAnsi" w:cstheme="minorBidi"/>
      <w:lang w:eastAsia="en-US"/>
    </w:rPr>
  </w:style>
  <w:style w:type="character" w:styleId="FootnoteReference">
    <w:name w:val="footnote reference"/>
    <w:basedOn w:val="DefaultParagraphFont"/>
    <w:uiPriority w:val="99"/>
    <w:unhideWhenUsed/>
    <w:rsid w:val="00E30700"/>
    <w:rPr>
      <w:vertAlign w:val="superscript"/>
    </w:rPr>
  </w:style>
  <w:style w:type="character" w:styleId="PageNumber">
    <w:name w:val="page number"/>
    <w:basedOn w:val="DefaultParagraphFont"/>
    <w:uiPriority w:val="99"/>
    <w:semiHidden/>
    <w:unhideWhenUsed/>
    <w:rsid w:val="006B3CBD"/>
  </w:style>
  <w:style w:type="character" w:customStyle="1" w:styleId="apple-converted-space">
    <w:name w:val="apple-converted-space"/>
    <w:basedOn w:val="DefaultParagraphFont"/>
    <w:rsid w:val="00052EA7"/>
  </w:style>
  <w:style w:type="character" w:customStyle="1" w:styleId="Heading1Char">
    <w:name w:val="Heading 1 Char"/>
    <w:basedOn w:val="DefaultParagraphFont"/>
    <w:link w:val="Heading1"/>
    <w:uiPriority w:val="9"/>
    <w:rsid w:val="00052EA7"/>
    <w:rPr>
      <w:rFonts w:asciiTheme="majorHAnsi" w:eastAsiaTheme="majorEastAsia" w:hAnsiTheme="majorHAnsi" w:cstheme="majorBidi"/>
      <w:b/>
      <w:bCs/>
      <w:color w:val="345A8A" w:themeColor="accent1" w:themeShade="B5"/>
      <w:sz w:val="32"/>
      <w:szCs w:val="32"/>
      <w:lang w:eastAsia="en-US"/>
    </w:rPr>
  </w:style>
  <w:style w:type="character" w:styleId="FollowedHyperlink">
    <w:name w:val="FollowedHyperlink"/>
    <w:basedOn w:val="DefaultParagraphFont"/>
    <w:uiPriority w:val="99"/>
    <w:semiHidden/>
    <w:unhideWhenUsed/>
    <w:rsid w:val="00F0475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link w:val="Heading1Char"/>
    <w:uiPriority w:val="9"/>
    <w:qFormat/>
    <w:rsid w:val="00052EA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4863E5"/>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3F4"/>
    <w:pPr>
      <w:tabs>
        <w:tab w:val="center" w:pos="4320"/>
        <w:tab w:val="right" w:pos="8640"/>
      </w:tabs>
    </w:pPr>
  </w:style>
  <w:style w:type="character" w:customStyle="1" w:styleId="HeaderChar">
    <w:name w:val="Header Char"/>
    <w:basedOn w:val="DefaultParagraphFont"/>
    <w:link w:val="Header"/>
    <w:uiPriority w:val="99"/>
    <w:rsid w:val="003543F4"/>
    <w:rPr>
      <w:lang w:eastAsia="en-US"/>
    </w:rPr>
  </w:style>
  <w:style w:type="paragraph" w:styleId="Footer">
    <w:name w:val="footer"/>
    <w:basedOn w:val="Normal"/>
    <w:link w:val="FooterChar"/>
    <w:uiPriority w:val="99"/>
    <w:unhideWhenUsed/>
    <w:rsid w:val="003543F4"/>
    <w:pPr>
      <w:tabs>
        <w:tab w:val="center" w:pos="4320"/>
        <w:tab w:val="right" w:pos="8640"/>
      </w:tabs>
    </w:pPr>
  </w:style>
  <w:style w:type="character" w:customStyle="1" w:styleId="FooterChar">
    <w:name w:val="Footer Char"/>
    <w:basedOn w:val="DefaultParagraphFont"/>
    <w:link w:val="Footer"/>
    <w:uiPriority w:val="99"/>
    <w:rsid w:val="003543F4"/>
    <w:rPr>
      <w:lang w:eastAsia="en-US"/>
    </w:rPr>
  </w:style>
  <w:style w:type="paragraph" w:styleId="BalloonText">
    <w:name w:val="Balloon Text"/>
    <w:basedOn w:val="Normal"/>
    <w:link w:val="BalloonTextChar"/>
    <w:uiPriority w:val="99"/>
    <w:semiHidden/>
    <w:unhideWhenUsed/>
    <w:rsid w:val="003543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43F4"/>
    <w:rPr>
      <w:rFonts w:ascii="Lucida Grande" w:hAnsi="Lucida Grande" w:cs="Lucida Grande"/>
      <w:sz w:val="18"/>
      <w:szCs w:val="18"/>
      <w:lang w:eastAsia="en-US"/>
    </w:rPr>
  </w:style>
  <w:style w:type="character" w:customStyle="1" w:styleId="Heading3Char">
    <w:name w:val="Heading 3 Char"/>
    <w:basedOn w:val="DefaultParagraphFont"/>
    <w:link w:val="Heading3"/>
    <w:uiPriority w:val="9"/>
    <w:rsid w:val="004863E5"/>
    <w:rPr>
      <w:rFonts w:ascii="Times" w:hAnsi="Times"/>
      <w:b/>
      <w:bCs/>
      <w:sz w:val="27"/>
      <w:szCs w:val="27"/>
      <w:lang w:eastAsia="en-US"/>
    </w:rPr>
  </w:style>
  <w:style w:type="character" w:styleId="Strong">
    <w:name w:val="Strong"/>
    <w:basedOn w:val="DefaultParagraphFont"/>
    <w:uiPriority w:val="22"/>
    <w:qFormat/>
    <w:rsid w:val="004863E5"/>
    <w:rPr>
      <w:b/>
      <w:bCs/>
    </w:rPr>
  </w:style>
  <w:style w:type="character" w:styleId="Hyperlink">
    <w:name w:val="Hyperlink"/>
    <w:basedOn w:val="DefaultParagraphFont"/>
    <w:uiPriority w:val="99"/>
    <w:unhideWhenUsed/>
    <w:rsid w:val="00E30700"/>
    <w:rPr>
      <w:color w:val="0000FF" w:themeColor="hyperlink"/>
      <w:u w:val="single"/>
    </w:rPr>
  </w:style>
  <w:style w:type="character" w:styleId="CommentReference">
    <w:name w:val="annotation reference"/>
    <w:basedOn w:val="DefaultParagraphFont"/>
    <w:uiPriority w:val="99"/>
    <w:semiHidden/>
    <w:unhideWhenUsed/>
    <w:rsid w:val="00E30700"/>
    <w:rPr>
      <w:sz w:val="18"/>
      <w:szCs w:val="18"/>
    </w:rPr>
  </w:style>
  <w:style w:type="paragraph" w:styleId="CommentText">
    <w:name w:val="annotation text"/>
    <w:basedOn w:val="Normal"/>
    <w:link w:val="CommentTextChar"/>
    <w:uiPriority w:val="99"/>
    <w:semiHidden/>
    <w:unhideWhenUsed/>
    <w:rsid w:val="00E30700"/>
    <w:rPr>
      <w:rFonts w:asciiTheme="minorHAnsi" w:hAnsiTheme="minorHAnsi" w:cstheme="minorBidi"/>
    </w:rPr>
  </w:style>
  <w:style w:type="character" w:customStyle="1" w:styleId="CommentTextChar">
    <w:name w:val="Comment Text Char"/>
    <w:basedOn w:val="DefaultParagraphFont"/>
    <w:link w:val="CommentText"/>
    <w:uiPriority w:val="99"/>
    <w:semiHidden/>
    <w:rsid w:val="00E30700"/>
    <w:rPr>
      <w:rFonts w:asciiTheme="minorHAnsi" w:hAnsiTheme="minorHAnsi" w:cstheme="minorBidi"/>
      <w:lang w:eastAsia="en-US"/>
    </w:rPr>
  </w:style>
  <w:style w:type="paragraph" w:styleId="FootnoteText">
    <w:name w:val="footnote text"/>
    <w:basedOn w:val="Normal"/>
    <w:link w:val="FootnoteTextChar"/>
    <w:uiPriority w:val="99"/>
    <w:unhideWhenUsed/>
    <w:rsid w:val="00E30700"/>
    <w:rPr>
      <w:rFonts w:asciiTheme="minorHAnsi" w:hAnsiTheme="minorHAnsi" w:cstheme="minorBidi"/>
    </w:rPr>
  </w:style>
  <w:style w:type="character" w:customStyle="1" w:styleId="FootnoteTextChar">
    <w:name w:val="Footnote Text Char"/>
    <w:basedOn w:val="DefaultParagraphFont"/>
    <w:link w:val="FootnoteText"/>
    <w:uiPriority w:val="99"/>
    <w:rsid w:val="00E30700"/>
    <w:rPr>
      <w:rFonts w:asciiTheme="minorHAnsi" w:hAnsiTheme="minorHAnsi" w:cstheme="minorBidi"/>
      <w:lang w:eastAsia="en-US"/>
    </w:rPr>
  </w:style>
  <w:style w:type="character" w:styleId="FootnoteReference">
    <w:name w:val="footnote reference"/>
    <w:basedOn w:val="DefaultParagraphFont"/>
    <w:uiPriority w:val="99"/>
    <w:unhideWhenUsed/>
    <w:rsid w:val="00E30700"/>
    <w:rPr>
      <w:vertAlign w:val="superscript"/>
    </w:rPr>
  </w:style>
  <w:style w:type="character" w:styleId="PageNumber">
    <w:name w:val="page number"/>
    <w:basedOn w:val="DefaultParagraphFont"/>
    <w:uiPriority w:val="99"/>
    <w:semiHidden/>
    <w:unhideWhenUsed/>
    <w:rsid w:val="006B3CBD"/>
  </w:style>
  <w:style w:type="character" w:customStyle="1" w:styleId="apple-converted-space">
    <w:name w:val="apple-converted-space"/>
    <w:basedOn w:val="DefaultParagraphFont"/>
    <w:rsid w:val="00052EA7"/>
  </w:style>
  <w:style w:type="character" w:customStyle="1" w:styleId="Heading1Char">
    <w:name w:val="Heading 1 Char"/>
    <w:basedOn w:val="DefaultParagraphFont"/>
    <w:link w:val="Heading1"/>
    <w:uiPriority w:val="9"/>
    <w:rsid w:val="00052EA7"/>
    <w:rPr>
      <w:rFonts w:asciiTheme="majorHAnsi" w:eastAsiaTheme="majorEastAsia" w:hAnsiTheme="majorHAnsi" w:cstheme="majorBidi"/>
      <w:b/>
      <w:bCs/>
      <w:color w:val="345A8A" w:themeColor="accent1" w:themeShade="B5"/>
      <w:sz w:val="32"/>
      <w:szCs w:val="32"/>
      <w:lang w:eastAsia="en-US"/>
    </w:rPr>
  </w:style>
  <w:style w:type="character" w:styleId="FollowedHyperlink">
    <w:name w:val="FollowedHyperlink"/>
    <w:basedOn w:val="DefaultParagraphFont"/>
    <w:uiPriority w:val="99"/>
    <w:semiHidden/>
    <w:unhideWhenUsed/>
    <w:rsid w:val="00F047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23839">
      <w:bodyDiv w:val="1"/>
      <w:marLeft w:val="0"/>
      <w:marRight w:val="0"/>
      <w:marTop w:val="0"/>
      <w:marBottom w:val="0"/>
      <w:divBdr>
        <w:top w:val="none" w:sz="0" w:space="0" w:color="auto"/>
        <w:left w:val="none" w:sz="0" w:space="0" w:color="auto"/>
        <w:bottom w:val="none" w:sz="0" w:space="0" w:color="auto"/>
        <w:right w:val="none" w:sz="0" w:space="0" w:color="auto"/>
      </w:divBdr>
    </w:div>
    <w:div w:id="1370034341">
      <w:bodyDiv w:val="1"/>
      <w:marLeft w:val="0"/>
      <w:marRight w:val="0"/>
      <w:marTop w:val="0"/>
      <w:marBottom w:val="0"/>
      <w:divBdr>
        <w:top w:val="none" w:sz="0" w:space="0" w:color="auto"/>
        <w:left w:val="none" w:sz="0" w:space="0" w:color="auto"/>
        <w:bottom w:val="none" w:sz="0" w:space="0" w:color="auto"/>
        <w:right w:val="none" w:sz="0" w:space="0" w:color="auto"/>
      </w:divBdr>
    </w:div>
    <w:div w:id="1634288339">
      <w:bodyDiv w:val="1"/>
      <w:marLeft w:val="0"/>
      <w:marRight w:val="0"/>
      <w:marTop w:val="0"/>
      <w:marBottom w:val="0"/>
      <w:divBdr>
        <w:top w:val="none" w:sz="0" w:space="0" w:color="auto"/>
        <w:left w:val="none" w:sz="0" w:space="0" w:color="auto"/>
        <w:bottom w:val="none" w:sz="0" w:space="0" w:color="auto"/>
        <w:right w:val="none" w:sz="0" w:space="0" w:color="auto"/>
      </w:divBdr>
    </w:div>
    <w:div w:id="19438761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file://localhost/Users/matthewbrett/Documents/CFSI/Stationery/letterhead-footer.jp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rookings.edu/research/papers/2013/01/household-income-volatility-dynan" TargetMode="External"/><Relationship Id="rId4" Type="http://schemas.openxmlformats.org/officeDocument/2006/relationships/hyperlink" Target="http://www.usfinancialdiaries.org/issue1-spikes/" TargetMode="External"/><Relationship Id="rId5" Type="http://schemas.openxmlformats.org/officeDocument/2006/relationships/hyperlink" Target="http://assetsandopportunity.org/scorecard/assets/2015_Scorecard_Report_FinanciaAssetsIncome.pdf" TargetMode="External"/><Relationship Id="rId6" Type="http://schemas.openxmlformats.org/officeDocument/2006/relationships/hyperlink" Target="http://files.consumerfinance.gov/f/201505_cfpb_data-point-credit-invisibles.pdf" TargetMode="External"/><Relationship Id="rId7" Type="http://schemas.openxmlformats.org/officeDocument/2006/relationships/hyperlink" Target="http://www.cfsinnovation.com/CMSPages/GetFile.aspx?guid=f937e096-abcf-46cc-84d0-1c6c3aec2d3e" TargetMode="External"/><Relationship Id="rId8" Type="http://schemas.openxmlformats.org/officeDocument/2006/relationships/hyperlink" Target="http://www.cfsinnovation.com/Document-Library/2013-Financially-Underserved-Market-Size.aspx" TargetMode="External"/><Relationship Id="rId9" Type="http://schemas.openxmlformats.org/officeDocument/2006/relationships/hyperlink" Target="http://www.cfsinnovation.com/Document-Library/Know-Your-Borrower-The-Four-Need-Cases-of-Smal-(1" TargetMode="External"/><Relationship Id="rId10" Type="http://schemas.openxmlformats.org/officeDocument/2006/relationships/hyperlink" Target="http://files.consumerfinance.gov/f/201403_cfpb_report_payday-lending.pdf" TargetMode="External"/><Relationship Id="rId11" Type="http://schemas.openxmlformats.org/officeDocument/2006/relationships/hyperlink" Target="http://www.cfsinnovation.com/Document-Library/The-Compass-Guide-to-Small-Dollar-Credit.aspx" TargetMode="External"/><Relationship Id="rId1" Type="http://schemas.openxmlformats.org/officeDocument/2006/relationships/hyperlink" Target="http://www.cfsinnovation.com/Document-Library/Understanding-Consumer-Financial-Health" TargetMode="External"/><Relationship Id="rId2" Type="http://schemas.openxmlformats.org/officeDocument/2006/relationships/hyperlink" Target="http://www.federalreserve.gov/econresdata/2013-report-economic-well-being-us-households-20140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1190</Words>
  <Characters>6786</Characters>
  <Application>Microsoft Macintosh Word</Application>
  <DocSecurity>0</DocSecurity>
  <Lines>56</Lines>
  <Paragraphs>15</Paragraphs>
  <ScaleCrop>false</ScaleCrop>
  <Company>Substance</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Brett</dc:creator>
  <cp:keywords/>
  <dc:description/>
  <cp:lastModifiedBy>Benjamin Marks</cp:lastModifiedBy>
  <cp:revision>82</cp:revision>
  <cp:lastPrinted>2015-05-11T04:35:00Z</cp:lastPrinted>
  <dcterms:created xsi:type="dcterms:W3CDTF">2015-05-11T02:19:00Z</dcterms:created>
  <dcterms:modified xsi:type="dcterms:W3CDTF">2015-05-11T04:43:00Z</dcterms:modified>
</cp:coreProperties>
</file>