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9F" w:rsidRPr="00905AE8" w:rsidRDefault="00333C53" w:rsidP="00AE2268">
      <w:pPr>
        <w:tabs>
          <w:tab w:val="right" w:pos="10800"/>
        </w:tabs>
        <w:spacing w:before="120" w:after="0" w:line="240" w:lineRule="auto"/>
        <w:rPr>
          <w:rFonts w:asciiTheme="majorHAnsi" w:hAnsiTheme="majorHAnsi" w:cs="Times New Roman"/>
          <w:sz w:val="24"/>
          <w:szCs w:val="24"/>
        </w:rPr>
      </w:pPr>
      <w:r w:rsidRPr="00905AE8">
        <w:rPr>
          <w:rFonts w:asciiTheme="majorHAnsi" w:hAnsiTheme="majorHAnsi"/>
          <w:noProof/>
          <w:sz w:val="24"/>
          <w:szCs w:val="24"/>
        </w:rPr>
        <w:pict>
          <v:shapetype id="_x0000_t32" coordsize="21600,21600" o:spt="32" o:oned="t" path="m,l21600,21600e" filled="f">
            <v:path arrowok="t" fillok="f" o:connecttype="none"/>
            <o:lock v:ext="edit" shapetype="t"/>
          </v:shapetype>
          <v:shape id="_x0000_s1026" type="#_x0000_t32" style="position:absolute;margin-left:-10pt;margin-top:1.5pt;width:564pt;height:.05pt;z-index:251658240" o:connectortype="straight" strokecolor="#c0504d [3205]" strokeweight="1pt"/>
        </w:pict>
      </w:r>
      <w:r w:rsidR="0056649F" w:rsidRPr="00905AE8">
        <w:rPr>
          <w:rFonts w:asciiTheme="majorHAnsi" w:hAnsiTheme="majorHAnsi" w:cs="Times New Roman"/>
          <w:b/>
          <w:sz w:val="24"/>
          <w:szCs w:val="24"/>
        </w:rPr>
        <w:t>Division of Pharmacoepidemiology and Pharmacoeconomics</w:t>
      </w:r>
      <w:r w:rsidR="007323B1" w:rsidRPr="00905AE8">
        <w:rPr>
          <w:rFonts w:asciiTheme="majorHAnsi" w:hAnsiTheme="majorHAnsi" w:cs="Times New Roman"/>
          <w:b/>
          <w:sz w:val="24"/>
          <w:szCs w:val="24"/>
        </w:rPr>
        <w:tab/>
      </w:r>
      <w:r w:rsidR="001629AF" w:rsidRPr="00905AE8">
        <w:rPr>
          <w:rFonts w:asciiTheme="majorHAnsi" w:hAnsiTheme="majorHAnsi" w:cs="Times New Roman"/>
          <w:sz w:val="24"/>
          <w:szCs w:val="24"/>
        </w:rPr>
        <w:t>Phone: 617-278-0930</w:t>
      </w:r>
      <w:r w:rsidR="001629AF" w:rsidRPr="00905AE8">
        <w:rPr>
          <w:rFonts w:asciiTheme="majorHAnsi" w:hAnsiTheme="majorHAnsi" w:cs="Times New Roman"/>
          <w:b/>
          <w:sz w:val="24"/>
          <w:szCs w:val="24"/>
        </w:rPr>
        <w:t xml:space="preserve">                                        </w:t>
      </w:r>
    </w:p>
    <w:p w:rsidR="0056649F" w:rsidRPr="00905AE8" w:rsidRDefault="00AE2268" w:rsidP="00291951">
      <w:pPr>
        <w:tabs>
          <w:tab w:val="right" w:pos="10800"/>
        </w:tabs>
        <w:spacing w:after="0" w:line="240" w:lineRule="auto"/>
        <w:rPr>
          <w:rFonts w:asciiTheme="majorHAnsi" w:hAnsiTheme="majorHAnsi" w:cs="Times New Roman"/>
          <w:sz w:val="24"/>
          <w:szCs w:val="24"/>
        </w:rPr>
      </w:pPr>
      <w:r w:rsidRPr="00905AE8">
        <w:rPr>
          <w:rFonts w:asciiTheme="majorHAnsi" w:hAnsiTheme="majorHAnsi" w:cs="Times New Roman"/>
          <w:b/>
          <w:sz w:val="24"/>
          <w:szCs w:val="24"/>
        </w:rPr>
        <w:t xml:space="preserve">Harvard Medical School and </w:t>
      </w:r>
      <w:r w:rsidR="0056649F" w:rsidRPr="00905AE8">
        <w:rPr>
          <w:rFonts w:asciiTheme="majorHAnsi" w:hAnsiTheme="majorHAnsi" w:cs="Times New Roman"/>
          <w:b/>
          <w:sz w:val="24"/>
          <w:szCs w:val="24"/>
        </w:rPr>
        <w:t xml:space="preserve">Brigham </w:t>
      </w:r>
      <w:r w:rsidRPr="00905AE8">
        <w:rPr>
          <w:rFonts w:asciiTheme="majorHAnsi" w:hAnsiTheme="majorHAnsi" w:cs="Times New Roman"/>
          <w:b/>
          <w:sz w:val="24"/>
          <w:szCs w:val="24"/>
        </w:rPr>
        <w:t>&amp;</w:t>
      </w:r>
      <w:r w:rsidR="0056649F" w:rsidRPr="00905AE8">
        <w:rPr>
          <w:rFonts w:asciiTheme="majorHAnsi" w:hAnsiTheme="majorHAnsi" w:cs="Times New Roman"/>
          <w:b/>
          <w:sz w:val="24"/>
          <w:szCs w:val="24"/>
        </w:rPr>
        <w:t xml:space="preserve"> Women’s Hospital </w:t>
      </w:r>
      <w:r w:rsidR="007323B1" w:rsidRPr="00905AE8">
        <w:rPr>
          <w:rFonts w:asciiTheme="majorHAnsi" w:hAnsiTheme="majorHAnsi" w:cs="Times New Roman"/>
          <w:b/>
          <w:sz w:val="24"/>
          <w:szCs w:val="24"/>
        </w:rPr>
        <w:tab/>
      </w:r>
      <w:r w:rsidR="001629AF" w:rsidRPr="00905AE8">
        <w:rPr>
          <w:rFonts w:asciiTheme="majorHAnsi" w:hAnsiTheme="majorHAnsi" w:cs="Times New Roman"/>
          <w:sz w:val="24"/>
          <w:szCs w:val="24"/>
        </w:rPr>
        <w:t>Fax: 617-232-8602</w:t>
      </w:r>
    </w:p>
    <w:p w:rsidR="00DF5EFF" w:rsidRPr="00905AE8" w:rsidRDefault="00D85D55" w:rsidP="00291951">
      <w:pPr>
        <w:tabs>
          <w:tab w:val="right" w:pos="10800"/>
        </w:tabs>
        <w:spacing w:after="0" w:line="240" w:lineRule="auto"/>
        <w:rPr>
          <w:rFonts w:asciiTheme="majorHAnsi" w:hAnsiTheme="majorHAnsi" w:cs="Times New Roman"/>
          <w:sz w:val="24"/>
          <w:szCs w:val="24"/>
        </w:rPr>
      </w:pPr>
      <w:r w:rsidRPr="00905AE8">
        <w:rPr>
          <w:rFonts w:asciiTheme="majorHAnsi" w:hAnsiTheme="majorHAnsi" w:cs="Times New Roman"/>
          <w:i/>
          <w:sz w:val="24"/>
          <w:szCs w:val="24"/>
        </w:rPr>
        <w:t>Aaron S. Kesselheim, M.D., J.D., M.P.H., Director</w:t>
      </w:r>
      <w:r w:rsidR="00DF5EFF" w:rsidRPr="00905AE8">
        <w:rPr>
          <w:rFonts w:asciiTheme="majorHAnsi" w:hAnsiTheme="majorHAnsi" w:cs="Times New Roman"/>
          <w:i/>
          <w:sz w:val="24"/>
          <w:szCs w:val="24"/>
        </w:rPr>
        <w:t xml:space="preserve"> </w:t>
      </w:r>
      <w:r w:rsidR="00DF5EFF" w:rsidRPr="00905AE8">
        <w:rPr>
          <w:rFonts w:asciiTheme="majorHAnsi" w:hAnsiTheme="majorHAnsi" w:cs="Times New Roman"/>
          <w:i/>
          <w:sz w:val="24"/>
          <w:szCs w:val="24"/>
        </w:rPr>
        <w:tab/>
      </w:r>
      <w:proofErr w:type="gramStart"/>
      <w:r w:rsidR="00DF5EFF" w:rsidRPr="00905AE8">
        <w:rPr>
          <w:rFonts w:asciiTheme="majorHAnsi" w:hAnsiTheme="majorHAnsi" w:cs="Times New Roman"/>
          <w:i/>
          <w:sz w:val="24"/>
          <w:szCs w:val="24"/>
        </w:rPr>
        <w:t>www.drugepi.org/portal</w:t>
      </w:r>
      <w:proofErr w:type="gramEnd"/>
    </w:p>
    <w:p w:rsidR="00D85D55" w:rsidRPr="00905AE8" w:rsidRDefault="00D85D55" w:rsidP="00291951">
      <w:pPr>
        <w:tabs>
          <w:tab w:val="right" w:pos="9360"/>
        </w:tabs>
        <w:spacing w:after="0" w:line="240" w:lineRule="auto"/>
        <w:rPr>
          <w:rFonts w:asciiTheme="majorHAnsi" w:hAnsiTheme="majorHAnsi" w:cs="Times New Roman"/>
          <w:i/>
          <w:sz w:val="24"/>
          <w:szCs w:val="24"/>
        </w:rPr>
      </w:pPr>
      <w:r w:rsidRPr="00905AE8">
        <w:rPr>
          <w:rFonts w:asciiTheme="majorHAnsi" w:hAnsiTheme="majorHAnsi" w:cs="Times New Roman"/>
          <w:i/>
          <w:sz w:val="24"/>
          <w:szCs w:val="24"/>
        </w:rPr>
        <w:t>Jerry Avorn, M.D., Co-Director</w:t>
      </w:r>
    </w:p>
    <w:p w:rsidR="00D85D55" w:rsidRPr="00905AE8" w:rsidRDefault="00D85D55" w:rsidP="00291951">
      <w:pPr>
        <w:tabs>
          <w:tab w:val="right" w:pos="9360"/>
        </w:tabs>
        <w:spacing w:after="0" w:line="240" w:lineRule="auto"/>
        <w:rPr>
          <w:rFonts w:asciiTheme="majorHAnsi" w:hAnsiTheme="majorHAnsi" w:cs="Times New Roman"/>
          <w:i/>
          <w:sz w:val="24"/>
          <w:szCs w:val="24"/>
        </w:rPr>
      </w:pPr>
    </w:p>
    <w:p w:rsidR="0082060F" w:rsidRPr="00905AE8" w:rsidRDefault="0082060F" w:rsidP="00291951">
      <w:pPr>
        <w:tabs>
          <w:tab w:val="left" w:pos="-720"/>
        </w:tabs>
        <w:suppressAutoHyphens/>
        <w:spacing w:after="0" w:line="240" w:lineRule="auto"/>
        <w:ind w:left="360" w:right="360"/>
        <w:rPr>
          <w:rFonts w:asciiTheme="majorHAnsi" w:hAnsiTheme="majorHAnsi" w:cs="Times New Roman"/>
          <w:sz w:val="24"/>
          <w:szCs w:val="24"/>
        </w:rPr>
      </w:pPr>
    </w:p>
    <w:p w:rsidR="008144A0" w:rsidRPr="00905AE8" w:rsidRDefault="008144A0" w:rsidP="00130030">
      <w:pPr>
        <w:tabs>
          <w:tab w:val="left" w:pos="-720"/>
        </w:tabs>
        <w:suppressAutoHyphens/>
        <w:spacing w:after="0" w:line="240" w:lineRule="auto"/>
        <w:ind w:left="360" w:right="360"/>
        <w:rPr>
          <w:rFonts w:asciiTheme="majorHAnsi" w:hAnsiTheme="majorHAnsi" w:cs="Times New Roman"/>
          <w:sz w:val="24"/>
          <w:szCs w:val="24"/>
        </w:rPr>
      </w:pPr>
    </w:p>
    <w:p w:rsidR="008144A0" w:rsidRPr="00905AE8" w:rsidRDefault="008144A0" w:rsidP="00130030">
      <w:pPr>
        <w:tabs>
          <w:tab w:val="left" w:pos="-720"/>
        </w:tabs>
        <w:suppressAutoHyphens/>
        <w:spacing w:after="0" w:line="240" w:lineRule="auto"/>
        <w:ind w:left="360" w:right="360"/>
        <w:rPr>
          <w:rFonts w:asciiTheme="majorHAnsi" w:hAnsiTheme="majorHAnsi" w:cs="Times New Roman"/>
          <w:sz w:val="24"/>
          <w:szCs w:val="24"/>
        </w:rPr>
      </w:pPr>
    </w:p>
    <w:p w:rsidR="000555C3" w:rsidRPr="00905AE8" w:rsidRDefault="000555C3" w:rsidP="00905AE8">
      <w:pPr>
        <w:spacing w:after="0"/>
        <w:ind w:left="720" w:right="360"/>
        <w:jc w:val="center"/>
        <w:rPr>
          <w:rFonts w:asciiTheme="majorHAnsi" w:hAnsiTheme="majorHAnsi"/>
          <w:b/>
          <w:sz w:val="24"/>
          <w:szCs w:val="24"/>
        </w:rPr>
      </w:pPr>
    </w:p>
    <w:p w:rsidR="000555C3" w:rsidRPr="00905AE8" w:rsidRDefault="000555C3" w:rsidP="00905AE8">
      <w:pPr>
        <w:spacing w:after="0"/>
        <w:ind w:left="720" w:right="360"/>
        <w:jc w:val="center"/>
        <w:rPr>
          <w:rFonts w:asciiTheme="majorHAnsi" w:hAnsiTheme="majorHAnsi"/>
          <w:b/>
          <w:sz w:val="24"/>
          <w:szCs w:val="24"/>
        </w:rPr>
      </w:pPr>
    </w:p>
    <w:p w:rsidR="000555C3" w:rsidRPr="00905AE8" w:rsidRDefault="000555C3" w:rsidP="00905AE8">
      <w:pPr>
        <w:spacing w:after="0"/>
        <w:ind w:left="720" w:right="360"/>
        <w:jc w:val="center"/>
        <w:rPr>
          <w:rFonts w:asciiTheme="majorHAnsi" w:hAnsiTheme="majorHAnsi"/>
          <w:b/>
          <w:sz w:val="24"/>
          <w:szCs w:val="24"/>
        </w:rPr>
      </w:pPr>
    </w:p>
    <w:p w:rsidR="000555C3" w:rsidRPr="00905AE8" w:rsidRDefault="000555C3" w:rsidP="00905AE8">
      <w:pPr>
        <w:spacing w:after="0"/>
        <w:ind w:left="720" w:right="360"/>
        <w:jc w:val="center"/>
        <w:rPr>
          <w:rFonts w:asciiTheme="majorHAnsi" w:hAnsiTheme="majorHAnsi"/>
          <w:b/>
          <w:sz w:val="24"/>
          <w:szCs w:val="24"/>
        </w:rPr>
      </w:pPr>
    </w:p>
    <w:p w:rsidR="000555C3" w:rsidRPr="00905AE8" w:rsidRDefault="000555C3" w:rsidP="00905AE8">
      <w:pPr>
        <w:spacing w:after="0"/>
        <w:ind w:left="720" w:right="360"/>
        <w:jc w:val="center"/>
        <w:rPr>
          <w:rFonts w:asciiTheme="majorHAnsi" w:hAnsiTheme="majorHAnsi"/>
          <w:b/>
          <w:sz w:val="24"/>
          <w:szCs w:val="24"/>
        </w:rPr>
      </w:pPr>
    </w:p>
    <w:p w:rsidR="00951C92" w:rsidRPr="00905AE8" w:rsidRDefault="00951C92" w:rsidP="00905AE8">
      <w:pPr>
        <w:spacing w:after="0"/>
        <w:ind w:left="720" w:right="360"/>
        <w:jc w:val="center"/>
        <w:rPr>
          <w:rFonts w:asciiTheme="majorHAnsi" w:hAnsiTheme="majorHAnsi"/>
          <w:b/>
          <w:caps/>
          <w:sz w:val="24"/>
          <w:szCs w:val="24"/>
        </w:rPr>
      </w:pPr>
      <w:r w:rsidRPr="00905AE8">
        <w:rPr>
          <w:rFonts w:asciiTheme="majorHAnsi" w:hAnsiTheme="majorHAnsi"/>
          <w:b/>
          <w:sz w:val="24"/>
          <w:szCs w:val="24"/>
        </w:rPr>
        <w:t>The Role of Public Funding in the Development of Transformative Drugs</w:t>
      </w:r>
    </w:p>
    <w:p w:rsidR="008144A0" w:rsidRPr="00905AE8" w:rsidRDefault="008144A0" w:rsidP="00905AE8">
      <w:pPr>
        <w:spacing w:after="0"/>
        <w:ind w:left="720" w:right="360"/>
        <w:jc w:val="center"/>
        <w:rPr>
          <w:rFonts w:asciiTheme="majorHAnsi" w:hAnsiTheme="majorHAnsi"/>
          <w:b/>
          <w:sz w:val="24"/>
          <w:szCs w:val="24"/>
        </w:rPr>
      </w:pPr>
    </w:p>
    <w:p w:rsidR="008144A0" w:rsidRPr="00905AE8" w:rsidRDefault="008144A0" w:rsidP="00905AE8">
      <w:pPr>
        <w:spacing w:after="0"/>
        <w:ind w:left="720" w:right="360"/>
        <w:jc w:val="center"/>
        <w:rPr>
          <w:rFonts w:asciiTheme="majorHAnsi" w:hAnsiTheme="majorHAnsi"/>
          <w:b/>
          <w:sz w:val="24"/>
          <w:szCs w:val="24"/>
        </w:rPr>
      </w:pPr>
    </w:p>
    <w:p w:rsidR="000555C3" w:rsidRPr="00905AE8" w:rsidRDefault="000555C3" w:rsidP="00905AE8">
      <w:pPr>
        <w:spacing w:after="0"/>
        <w:ind w:left="720" w:right="360"/>
        <w:jc w:val="center"/>
        <w:rPr>
          <w:rFonts w:asciiTheme="majorHAnsi" w:hAnsiTheme="majorHAnsi"/>
          <w:b/>
          <w:sz w:val="24"/>
          <w:szCs w:val="24"/>
        </w:rPr>
      </w:pPr>
    </w:p>
    <w:p w:rsidR="008144A0" w:rsidRPr="00905AE8" w:rsidRDefault="008144A0" w:rsidP="00905AE8">
      <w:pPr>
        <w:spacing w:after="0"/>
        <w:ind w:left="720" w:right="360"/>
        <w:jc w:val="center"/>
        <w:rPr>
          <w:rFonts w:asciiTheme="majorHAnsi" w:hAnsiTheme="majorHAnsi"/>
          <w:bCs/>
          <w:sz w:val="24"/>
          <w:szCs w:val="24"/>
        </w:rPr>
      </w:pPr>
      <w:r w:rsidRPr="00905AE8">
        <w:rPr>
          <w:rFonts w:asciiTheme="majorHAnsi" w:hAnsiTheme="majorHAnsi"/>
          <w:bCs/>
          <w:sz w:val="24"/>
          <w:szCs w:val="24"/>
        </w:rPr>
        <w:t>Testimony of:</w:t>
      </w:r>
    </w:p>
    <w:p w:rsidR="008144A0" w:rsidRPr="00905AE8" w:rsidRDefault="008144A0" w:rsidP="00905AE8">
      <w:pPr>
        <w:spacing w:after="0"/>
        <w:ind w:left="720" w:right="360"/>
        <w:jc w:val="center"/>
        <w:rPr>
          <w:rFonts w:asciiTheme="majorHAnsi" w:hAnsiTheme="majorHAnsi"/>
          <w:bCs/>
          <w:sz w:val="24"/>
          <w:szCs w:val="24"/>
        </w:rPr>
      </w:pPr>
    </w:p>
    <w:p w:rsidR="008144A0" w:rsidRPr="00905AE8" w:rsidRDefault="008144A0" w:rsidP="00905AE8">
      <w:pPr>
        <w:spacing w:after="0"/>
        <w:ind w:left="720" w:right="360"/>
        <w:jc w:val="center"/>
        <w:rPr>
          <w:rFonts w:asciiTheme="majorHAnsi" w:hAnsiTheme="majorHAnsi"/>
          <w:bCs/>
          <w:sz w:val="24"/>
          <w:szCs w:val="24"/>
        </w:rPr>
      </w:pPr>
    </w:p>
    <w:p w:rsidR="008144A0" w:rsidRPr="00905AE8" w:rsidRDefault="008144A0" w:rsidP="00905AE8">
      <w:pPr>
        <w:spacing w:after="0"/>
        <w:ind w:left="720" w:right="360"/>
        <w:jc w:val="center"/>
        <w:rPr>
          <w:rFonts w:asciiTheme="majorHAnsi" w:hAnsiTheme="majorHAnsi"/>
          <w:bCs/>
          <w:sz w:val="24"/>
          <w:szCs w:val="24"/>
        </w:rPr>
      </w:pPr>
      <w:r w:rsidRPr="00905AE8">
        <w:rPr>
          <w:rFonts w:asciiTheme="majorHAnsi" w:hAnsiTheme="majorHAnsi"/>
          <w:bCs/>
          <w:sz w:val="24"/>
          <w:szCs w:val="24"/>
        </w:rPr>
        <w:t>Aaron S. Kesselheim, M.D., J.D., M.P.H.</w:t>
      </w:r>
    </w:p>
    <w:p w:rsidR="008144A0" w:rsidRPr="00905AE8" w:rsidRDefault="008144A0" w:rsidP="00905AE8">
      <w:pPr>
        <w:spacing w:after="0"/>
        <w:ind w:left="720" w:right="360"/>
        <w:jc w:val="center"/>
        <w:rPr>
          <w:rFonts w:asciiTheme="majorHAnsi" w:hAnsiTheme="majorHAnsi"/>
          <w:bCs/>
          <w:sz w:val="24"/>
          <w:szCs w:val="24"/>
        </w:rPr>
      </w:pPr>
    </w:p>
    <w:p w:rsidR="008144A0" w:rsidRPr="00905AE8" w:rsidRDefault="008144A0" w:rsidP="00905AE8">
      <w:pPr>
        <w:spacing w:after="0"/>
        <w:ind w:left="720" w:right="360"/>
        <w:jc w:val="center"/>
        <w:rPr>
          <w:rFonts w:asciiTheme="majorHAnsi" w:hAnsiTheme="majorHAnsi"/>
          <w:bCs/>
          <w:sz w:val="24"/>
          <w:szCs w:val="24"/>
        </w:rPr>
      </w:pPr>
      <w:r w:rsidRPr="00905AE8">
        <w:rPr>
          <w:rFonts w:asciiTheme="majorHAnsi" w:hAnsiTheme="majorHAnsi"/>
          <w:bCs/>
          <w:sz w:val="24"/>
          <w:szCs w:val="24"/>
        </w:rPr>
        <w:t>Associate Professor of Medicine, Harvard Medical School</w:t>
      </w:r>
      <w:r w:rsidR="000555C3" w:rsidRPr="00905AE8">
        <w:rPr>
          <w:rFonts w:asciiTheme="majorHAnsi" w:hAnsiTheme="majorHAnsi"/>
          <w:bCs/>
          <w:sz w:val="24"/>
          <w:szCs w:val="24"/>
        </w:rPr>
        <w:t xml:space="preserve"> and Brigham and Women’s Hospital</w:t>
      </w:r>
    </w:p>
    <w:p w:rsidR="008144A0" w:rsidRPr="00905AE8" w:rsidRDefault="008144A0" w:rsidP="00905AE8">
      <w:pPr>
        <w:spacing w:after="0"/>
        <w:ind w:left="720" w:right="360"/>
        <w:jc w:val="center"/>
        <w:rPr>
          <w:rFonts w:asciiTheme="majorHAnsi" w:hAnsiTheme="majorHAnsi"/>
          <w:b/>
          <w:sz w:val="24"/>
          <w:szCs w:val="24"/>
        </w:rPr>
      </w:pPr>
    </w:p>
    <w:p w:rsidR="008144A0" w:rsidRPr="00905AE8" w:rsidRDefault="008144A0" w:rsidP="00905AE8">
      <w:pPr>
        <w:spacing w:after="0"/>
        <w:ind w:left="720" w:right="360"/>
        <w:rPr>
          <w:rFonts w:asciiTheme="majorHAnsi" w:hAnsiTheme="majorHAnsi"/>
          <w:sz w:val="24"/>
          <w:szCs w:val="24"/>
        </w:rPr>
      </w:pPr>
    </w:p>
    <w:p w:rsidR="008144A0" w:rsidRPr="00905AE8" w:rsidRDefault="008144A0" w:rsidP="00905AE8">
      <w:pPr>
        <w:spacing w:after="0"/>
        <w:ind w:left="720" w:right="360"/>
        <w:rPr>
          <w:rFonts w:asciiTheme="majorHAnsi" w:hAnsiTheme="majorHAnsi"/>
          <w:sz w:val="24"/>
          <w:szCs w:val="24"/>
        </w:rPr>
      </w:pPr>
    </w:p>
    <w:p w:rsidR="008144A0" w:rsidRPr="00905AE8" w:rsidRDefault="008144A0" w:rsidP="00905AE8">
      <w:pPr>
        <w:spacing w:after="0"/>
        <w:ind w:left="720" w:right="360"/>
        <w:rPr>
          <w:rFonts w:asciiTheme="majorHAnsi" w:hAnsiTheme="majorHAnsi"/>
          <w:sz w:val="24"/>
          <w:szCs w:val="24"/>
        </w:rPr>
      </w:pPr>
    </w:p>
    <w:p w:rsidR="008144A0" w:rsidRPr="00905AE8" w:rsidRDefault="008144A0" w:rsidP="00905AE8">
      <w:pPr>
        <w:spacing w:after="0"/>
        <w:ind w:left="720" w:right="360"/>
        <w:rPr>
          <w:rFonts w:asciiTheme="majorHAnsi" w:hAnsiTheme="majorHAnsi"/>
          <w:sz w:val="24"/>
          <w:szCs w:val="24"/>
        </w:rPr>
      </w:pPr>
    </w:p>
    <w:p w:rsidR="008144A0" w:rsidRPr="00905AE8" w:rsidRDefault="008144A0" w:rsidP="00905AE8">
      <w:pPr>
        <w:spacing w:after="0"/>
        <w:ind w:left="720" w:right="360"/>
        <w:rPr>
          <w:rFonts w:asciiTheme="majorHAnsi" w:hAnsiTheme="majorHAnsi"/>
          <w:sz w:val="24"/>
          <w:szCs w:val="24"/>
        </w:rPr>
      </w:pPr>
    </w:p>
    <w:p w:rsidR="008144A0" w:rsidRPr="00905AE8" w:rsidRDefault="008144A0" w:rsidP="00905AE8">
      <w:pPr>
        <w:spacing w:after="0"/>
        <w:ind w:left="720" w:right="360"/>
        <w:rPr>
          <w:rFonts w:asciiTheme="majorHAnsi" w:hAnsiTheme="majorHAnsi"/>
          <w:sz w:val="24"/>
          <w:szCs w:val="24"/>
        </w:rPr>
      </w:pPr>
    </w:p>
    <w:p w:rsidR="008144A0" w:rsidRPr="00905AE8" w:rsidRDefault="008144A0" w:rsidP="00905AE8">
      <w:pPr>
        <w:spacing w:after="0"/>
        <w:ind w:left="720" w:right="360"/>
        <w:rPr>
          <w:rFonts w:asciiTheme="majorHAnsi" w:hAnsiTheme="majorHAnsi"/>
          <w:sz w:val="24"/>
          <w:szCs w:val="24"/>
        </w:rPr>
      </w:pPr>
    </w:p>
    <w:p w:rsidR="008144A0" w:rsidRPr="00905AE8" w:rsidRDefault="008144A0" w:rsidP="00905AE8">
      <w:pPr>
        <w:spacing w:after="0"/>
        <w:ind w:left="720" w:right="360"/>
        <w:rPr>
          <w:rFonts w:asciiTheme="majorHAnsi" w:hAnsiTheme="majorHAnsi"/>
          <w:bCs/>
          <w:sz w:val="24"/>
          <w:szCs w:val="24"/>
        </w:rPr>
      </w:pPr>
      <w:r w:rsidRPr="00905AE8">
        <w:rPr>
          <w:rFonts w:asciiTheme="majorHAnsi" w:hAnsiTheme="majorHAnsi"/>
          <w:bCs/>
          <w:sz w:val="24"/>
          <w:szCs w:val="24"/>
        </w:rPr>
        <w:t xml:space="preserve">United States </w:t>
      </w:r>
      <w:r w:rsidR="00951C92" w:rsidRPr="00905AE8">
        <w:rPr>
          <w:rFonts w:asciiTheme="majorHAnsi" w:hAnsiTheme="majorHAnsi"/>
          <w:bCs/>
          <w:sz w:val="24"/>
          <w:szCs w:val="24"/>
        </w:rPr>
        <w:t>Congress Forum</w:t>
      </w:r>
    </w:p>
    <w:p w:rsidR="008144A0" w:rsidRPr="00905AE8" w:rsidRDefault="00951C92" w:rsidP="00905AE8">
      <w:pPr>
        <w:spacing w:after="0"/>
        <w:ind w:left="720" w:right="360"/>
        <w:rPr>
          <w:rFonts w:asciiTheme="majorHAnsi" w:hAnsiTheme="majorHAnsi"/>
          <w:bCs/>
          <w:sz w:val="24"/>
          <w:szCs w:val="24"/>
        </w:rPr>
      </w:pPr>
      <w:r w:rsidRPr="00905AE8">
        <w:rPr>
          <w:rFonts w:asciiTheme="majorHAnsi" w:hAnsiTheme="majorHAnsi"/>
          <w:bCs/>
          <w:sz w:val="24"/>
          <w:szCs w:val="24"/>
        </w:rPr>
        <w:t>July 27, 2015</w:t>
      </w:r>
    </w:p>
    <w:p w:rsidR="008144A0" w:rsidRPr="00905AE8" w:rsidRDefault="008144A0" w:rsidP="00905AE8">
      <w:pPr>
        <w:spacing w:after="0"/>
        <w:ind w:left="720" w:right="360"/>
        <w:rPr>
          <w:rFonts w:asciiTheme="majorHAnsi" w:hAnsiTheme="majorHAnsi"/>
          <w:bCs/>
          <w:sz w:val="24"/>
          <w:szCs w:val="24"/>
        </w:rPr>
      </w:pPr>
      <w:r w:rsidRPr="00905AE8">
        <w:rPr>
          <w:rFonts w:asciiTheme="majorHAnsi" w:hAnsiTheme="majorHAnsi"/>
          <w:bCs/>
          <w:sz w:val="24"/>
          <w:szCs w:val="24"/>
        </w:rPr>
        <w:t>Washington, D.C.</w:t>
      </w:r>
    </w:p>
    <w:p w:rsidR="008144A0" w:rsidRPr="00905AE8" w:rsidRDefault="008144A0" w:rsidP="00905AE8">
      <w:pPr>
        <w:spacing w:after="0" w:line="480" w:lineRule="auto"/>
        <w:ind w:right="360"/>
        <w:jc w:val="center"/>
        <w:rPr>
          <w:rFonts w:asciiTheme="majorHAnsi" w:hAnsiTheme="majorHAnsi"/>
          <w:b/>
          <w:sz w:val="24"/>
          <w:szCs w:val="24"/>
        </w:rPr>
      </w:pPr>
      <w:r w:rsidRPr="00905AE8">
        <w:rPr>
          <w:rFonts w:asciiTheme="majorHAnsi" w:hAnsiTheme="majorHAnsi"/>
          <w:sz w:val="24"/>
          <w:szCs w:val="24"/>
        </w:rPr>
        <w:br w:type="page"/>
      </w:r>
      <w:r w:rsidRPr="00905AE8">
        <w:rPr>
          <w:rFonts w:asciiTheme="majorHAnsi" w:hAnsiTheme="majorHAnsi"/>
          <w:b/>
          <w:sz w:val="24"/>
          <w:szCs w:val="24"/>
        </w:rPr>
        <w:lastRenderedPageBreak/>
        <w:t>Summary of major points</w:t>
      </w:r>
    </w:p>
    <w:p w:rsidR="008144A0" w:rsidRPr="00905AE8" w:rsidRDefault="00951C92" w:rsidP="00905AE8">
      <w:pPr>
        <w:numPr>
          <w:ilvl w:val="0"/>
          <w:numId w:val="1"/>
        </w:numPr>
        <w:tabs>
          <w:tab w:val="clear" w:pos="1440"/>
          <w:tab w:val="left" w:pos="720"/>
        </w:tabs>
        <w:spacing w:after="0" w:line="480" w:lineRule="auto"/>
        <w:ind w:left="720" w:right="360"/>
        <w:rPr>
          <w:rFonts w:asciiTheme="majorHAnsi" w:hAnsiTheme="majorHAnsi"/>
          <w:b/>
          <w:sz w:val="24"/>
          <w:szCs w:val="24"/>
        </w:rPr>
      </w:pPr>
      <w:r w:rsidRPr="00905AE8">
        <w:rPr>
          <w:rFonts w:asciiTheme="majorHAnsi" w:hAnsiTheme="majorHAnsi"/>
          <w:sz w:val="24"/>
          <w:szCs w:val="24"/>
        </w:rPr>
        <w:t>Point 1</w:t>
      </w:r>
      <w:r w:rsidR="008144A0" w:rsidRPr="00905AE8">
        <w:rPr>
          <w:rFonts w:asciiTheme="majorHAnsi" w:hAnsiTheme="majorHAnsi"/>
          <w:sz w:val="24"/>
          <w:szCs w:val="24"/>
        </w:rPr>
        <w:br w:type="page"/>
      </w:r>
      <w:r w:rsidR="008144A0" w:rsidRPr="00905AE8">
        <w:rPr>
          <w:rFonts w:asciiTheme="majorHAnsi" w:hAnsiTheme="majorHAnsi"/>
          <w:b/>
          <w:sz w:val="24"/>
          <w:szCs w:val="24"/>
        </w:rPr>
        <w:lastRenderedPageBreak/>
        <w:t xml:space="preserve"> </w:t>
      </w:r>
      <w:r w:rsidR="00905AE8">
        <w:rPr>
          <w:rFonts w:asciiTheme="majorHAnsi" w:hAnsiTheme="majorHAnsi"/>
          <w:b/>
          <w:sz w:val="24"/>
          <w:szCs w:val="24"/>
        </w:rPr>
        <w:t>Dear Senator Warren and Congressman Cummings</w:t>
      </w:r>
      <w:r w:rsidR="008144A0" w:rsidRPr="00905AE8">
        <w:rPr>
          <w:rFonts w:asciiTheme="majorHAnsi" w:hAnsiTheme="majorHAnsi"/>
          <w:b/>
          <w:sz w:val="24"/>
          <w:szCs w:val="24"/>
        </w:rPr>
        <w:t>:</w:t>
      </w:r>
    </w:p>
    <w:p w:rsidR="008144A0" w:rsidRPr="00905AE8" w:rsidRDefault="008144A0" w:rsidP="00905AE8">
      <w:pPr>
        <w:spacing w:after="0" w:line="480" w:lineRule="auto"/>
        <w:ind w:left="720" w:right="360" w:firstLine="720"/>
        <w:rPr>
          <w:rFonts w:asciiTheme="majorHAnsi" w:hAnsiTheme="majorHAnsi"/>
          <w:sz w:val="24"/>
          <w:szCs w:val="24"/>
        </w:rPr>
      </w:pPr>
      <w:r w:rsidRPr="00905AE8">
        <w:rPr>
          <w:rFonts w:asciiTheme="majorHAnsi" w:hAnsiTheme="majorHAnsi"/>
          <w:sz w:val="24"/>
          <w:szCs w:val="24"/>
        </w:rPr>
        <w:t xml:space="preserve">My name is Aaron Kesselheim. I am an internal medicine physician, lawyer, and health policy researcher in the Division of Pharmacoepidemiology and Pharmacoeconomics at Brigham and Women’s Hospital in Boston and an Associate Professor of Medicine at Harvard Medical School. I lead the Program </w:t>
      </w:r>
      <w:proofErr w:type="gramStart"/>
      <w:r w:rsidRPr="00905AE8">
        <w:rPr>
          <w:rFonts w:asciiTheme="majorHAnsi" w:hAnsiTheme="majorHAnsi"/>
          <w:sz w:val="24"/>
          <w:szCs w:val="24"/>
        </w:rPr>
        <w:t>On</w:t>
      </w:r>
      <w:proofErr w:type="gramEnd"/>
      <w:r w:rsidRPr="00905AE8">
        <w:rPr>
          <w:rFonts w:asciiTheme="majorHAnsi" w:hAnsiTheme="majorHAnsi"/>
          <w:sz w:val="24"/>
          <w:szCs w:val="24"/>
        </w:rPr>
        <w:t xml:space="preserve"> Regulation, Therapeutics, And Law (PORTAL), an interdisciplinary research team studies the intersections between </w:t>
      </w:r>
      <w:r w:rsidRPr="00905AE8">
        <w:rPr>
          <w:rFonts w:asciiTheme="majorHAnsi" w:hAnsiTheme="majorHAnsi"/>
          <w:sz w:val="24"/>
          <w:szCs w:val="24"/>
          <w:shd w:val="clear" w:color="auto" w:fill="FFFFFF"/>
        </w:rPr>
        <w:t>laws and regulations and the development, utilization, and affordability of drugs</w:t>
      </w:r>
      <w:r w:rsidR="00951C92" w:rsidRPr="00905AE8">
        <w:rPr>
          <w:rFonts w:asciiTheme="majorHAnsi" w:hAnsiTheme="majorHAnsi"/>
          <w:sz w:val="24"/>
          <w:szCs w:val="24"/>
        </w:rPr>
        <w:t xml:space="preserve">. I am glad to be able to address </w:t>
      </w:r>
      <w:r w:rsidR="005850E5">
        <w:rPr>
          <w:rFonts w:asciiTheme="majorHAnsi" w:hAnsiTheme="majorHAnsi"/>
          <w:sz w:val="24"/>
          <w:szCs w:val="24"/>
        </w:rPr>
        <w:t>the Forum you have organized</w:t>
      </w:r>
      <w:r w:rsidR="00951C92" w:rsidRPr="00905AE8">
        <w:rPr>
          <w:rFonts w:asciiTheme="majorHAnsi" w:hAnsiTheme="majorHAnsi"/>
          <w:sz w:val="24"/>
          <w:szCs w:val="24"/>
        </w:rPr>
        <w:t xml:space="preserve"> today about the role of public research funding in discovering our most transformative drugs</w:t>
      </w:r>
      <w:r w:rsidRPr="00905AE8">
        <w:rPr>
          <w:rFonts w:asciiTheme="majorHAnsi" w:hAnsiTheme="majorHAnsi"/>
          <w:sz w:val="24"/>
          <w:szCs w:val="24"/>
        </w:rPr>
        <w:t>.</w:t>
      </w:r>
    </w:p>
    <w:p w:rsidR="00E70384" w:rsidRPr="00905AE8" w:rsidRDefault="00A35C47" w:rsidP="00905AE8">
      <w:pPr>
        <w:spacing w:after="0" w:line="480" w:lineRule="auto"/>
        <w:ind w:left="720" w:right="360" w:firstLine="720"/>
        <w:rPr>
          <w:rFonts w:asciiTheme="majorHAnsi" w:hAnsiTheme="majorHAnsi" w:cs="Courier New"/>
          <w:sz w:val="24"/>
          <w:szCs w:val="24"/>
        </w:rPr>
      </w:pPr>
      <w:r w:rsidRPr="00905AE8">
        <w:rPr>
          <w:rFonts w:asciiTheme="majorHAnsi" w:hAnsiTheme="majorHAnsi" w:cs="Courier New"/>
          <w:sz w:val="24"/>
          <w:szCs w:val="24"/>
        </w:rPr>
        <w:t>The holy grail of drug research and development are transformative drugs--innovative drugs that have</w:t>
      </w:r>
      <w:r w:rsidR="005850E5">
        <w:rPr>
          <w:rFonts w:asciiTheme="majorHAnsi" w:hAnsiTheme="majorHAnsi" w:cs="Courier New"/>
          <w:sz w:val="24"/>
          <w:szCs w:val="24"/>
        </w:rPr>
        <w:t xml:space="preserve"> a</w:t>
      </w:r>
      <w:r w:rsidRPr="00905AE8">
        <w:rPr>
          <w:rFonts w:asciiTheme="majorHAnsi" w:hAnsiTheme="majorHAnsi" w:cs="Courier New"/>
          <w:sz w:val="24"/>
          <w:szCs w:val="24"/>
        </w:rPr>
        <w:t xml:space="preserve"> groundbreaking effect on patient care. </w:t>
      </w:r>
      <w:r w:rsidR="005850E5">
        <w:rPr>
          <w:rFonts w:asciiTheme="majorHAnsi" w:hAnsiTheme="majorHAnsi" w:cs="Courier New"/>
          <w:sz w:val="24"/>
          <w:szCs w:val="24"/>
        </w:rPr>
        <w:t>T</w:t>
      </w:r>
      <w:r w:rsidR="00E70384" w:rsidRPr="00905AE8">
        <w:rPr>
          <w:rFonts w:asciiTheme="majorHAnsi" w:hAnsiTheme="majorHAnsi" w:cs="Courier New"/>
          <w:sz w:val="24"/>
          <w:szCs w:val="24"/>
        </w:rPr>
        <w:t xml:space="preserve">here has been a great deal written in the professional and lay press about a perceived decline in the number of new </w:t>
      </w:r>
      <w:r w:rsidR="005850E5">
        <w:rPr>
          <w:rFonts w:asciiTheme="majorHAnsi" w:hAnsiTheme="majorHAnsi" w:cs="Courier New"/>
          <w:sz w:val="24"/>
          <w:szCs w:val="24"/>
        </w:rPr>
        <w:t>such</w:t>
      </w:r>
      <w:r w:rsidR="00E70384" w:rsidRPr="00905AE8">
        <w:rPr>
          <w:rFonts w:asciiTheme="majorHAnsi" w:hAnsiTheme="majorHAnsi" w:cs="Courier New"/>
          <w:sz w:val="24"/>
          <w:szCs w:val="24"/>
        </w:rPr>
        <w:t xml:space="preserve"> products emerging from an increasingly cost-intensive drug development process. Recent advances in medical sciences, such as those based on genetics and molecular biology technologies, have not yet led to the large numbers of new treatments that had been expected. </w:t>
      </w:r>
    </w:p>
    <w:p w:rsidR="005F3965" w:rsidRDefault="005850E5" w:rsidP="005F3965">
      <w:pPr>
        <w:spacing w:after="0" w:line="480" w:lineRule="auto"/>
        <w:ind w:left="720" w:right="360" w:firstLine="720"/>
        <w:rPr>
          <w:rFonts w:asciiTheme="majorHAnsi" w:hAnsiTheme="majorHAnsi" w:cs="Courier New"/>
          <w:sz w:val="24"/>
          <w:szCs w:val="24"/>
        </w:rPr>
      </w:pPr>
      <w:r>
        <w:rPr>
          <w:rFonts w:asciiTheme="majorHAnsi" w:hAnsiTheme="majorHAnsi" w:cs="Courier New"/>
          <w:sz w:val="24"/>
          <w:szCs w:val="24"/>
        </w:rPr>
        <w:t>To b</w:t>
      </w:r>
      <w:r w:rsidR="006F30E0">
        <w:rPr>
          <w:rFonts w:asciiTheme="majorHAnsi" w:hAnsiTheme="majorHAnsi" w:cs="Courier New"/>
          <w:sz w:val="24"/>
          <w:szCs w:val="24"/>
        </w:rPr>
        <w:t xml:space="preserve">est encourage transformative new drugs, it is important to understand the sources of these products.  But </w:t>
      </w:r>
      <w:r w:rsidR="006F30E0">
        <w:rPr>
          <w:rFonts w:ascii="Arial" w:hAnsi="Arial" w:cs="Arial"/>
          <w:bCs/>
        </w:rPr>
        <w:t>t</w:t>
      </w:r>
      <w:r w:rsidR="006F30E0">
        <w:rPr>
          <w:rFonts w:ascii="Arial" w:hAnsi="Arial" w:cs="Arial"/>
        </w:rPr>
        <w:t xml:space="preserve">he process of developing </w:t>
      </w:r>
      <w:r w:rsidR="006F30E0" w:rsidRPr="00353416">
        <w:rPr>
          <w:rFonts w:ascii="Arial" w:hAnsi="Arial" w:cs="Arial"/>
        </w:rPr>
        <w:t xml:space="preserve">therapeutics is poorly understood.  </w:t>
      </w:r>
      <w:r w:rsidR="006F30E0" w:rsidRPr="00353416">
        <w:rPr>
          <w:rFonts w:ascii="Arial" w:hAnsi="Arial" w:cs="Arial"/>
          <w:bCs/>
        </w:rPr>
        <w:t xml:space="preserve">A </w:t>
      </w:r>
      <w:r w:rsidR="006F30E0">
        <w:rPr>
          <w:rFonts w:ascii="Arial" w:hAnsi="Arial" w:cs="Arial"/>
          <w:bCs/>
        </w:rPr>
        <w:t xml:space="preserve">new </w:t>
      </w:r>
      <w:r w:rsidR="006F30E0" w:rsidRPr="00353416">
        <w:rPr>
          <w:rFonts w:ascii="Arial" w:hAnsi="Arial" w:cs="Arial"/>
          <w:bCs/>
        </w:rPr>
        <w:t xml:space="preserve">medication or biotechnology drug usually </w:t>
      </w:r>
      <w:r w:rsidR="006F30E0">
        <w:rPr>
          <w:rFonts w:ascii="Arial" w:hAnsi="Arial" w:cs="Arial"/>
          <w:bCs/>
        </w:rPr>
        <w:t>emerges from</w:t>
      </w:r>
      <w:r w:rsidR="006F30E0" w:rsidRPr="00353416">
        <w:rPr>
          <w:rFonts w:ascii="Arial" w:hAnsi="Arial" w:cs="Arial"/>
          <w:bCs/>
        </w:rPr>
        <w:t xml:space="preserve"> a long course of research that starts with pivotal basic science discoveries, followed by translational and applied studies</w:t>
      </w:r>
      <w:r w:rsidR="006F30E0">
        <w:rPr>
          <w:rFonts w:ascii="Arial" w:hAnsi="Arial" w:cs="Arial"/>
          <w:bCs/>
        </w:rPr>
        <w:t>,</w:t>
      </w:r>
      <w:r w:rsidR="006F30E0" w:rsidRPr="00353416">
        <w:rPr>
          <w:rFonts w:ascii="Arial" w:hAnsi="Arial" w:cs="Arial"/>
          <w:bCs/>
        </w:rPr>
        <w:t xml:space="preserve"> product development research</w:t>
      </w:r>
      <w:r w:rsidR="006F30E0">
        <w:rPr>
          <w:rFonts w:ascii="Arial" w:hAnsi="Arial" w:cs="Arial"/>
          <w:bCs/>
        </w:rPr>
        <w:t>, and clinical testing</w:t>
      </w:r>
      <w:r w:rsidR="006F30E0" w:rsidRPr="00353416">
        <w:rPr>
          <w:rFonts w:ascii="Arial" w:hAnsi="Arial" w:cs="Arial"/>
          <w:bCs/>
        </w:rPr>
        <w:t xml:space="preserve">. </w:t>
      </w:r>
      <w:r w:rsidR="006F30E0" w:rsidRPr="00353416">
        <w:rPr>
          <w:rFonts w:ascii="Arial" w:hAnsi="Arial" w:cs="Arial"/>
        </w:rPr>
        <w:t xml:space="preserve"> </w:t>
      </w:r>
      <w:r w:rsidR="006F30E0">
        <w:rPr>
          <w:rFonts w:ascii="Arial" w:hAnsi="Arial" w:cs="Arial"/>
        </w:rPr>
        <w:t xml:space="preserve">Academic and non-profit research centers are the focus of basic science work, with </w:t>
      </w:r>
      <w:r w:rsidR="006F30E0" w:rsidRPr="00634026">
        <w:rPr>
          <w:rFonts w:ascii="Arial" w:hAnsi="Arial" w:cs="Arial"/>
        </w:rPr>
        <w:t xml:space="preserve">more than 75% of </w:t>
      </w:r>
      <w:r w:rsidR="006F30E0">
        <w:rPr>
          <w:rFonts w:ascii="Arial" w:hAnsi="Arial" w:cs="Arial"/>
        </w:rPr>
        <w:t>the work</w:t>
      </w:r>
      <w:r w:rsidR="006F30E0" w:rsidRPr="00634026">
        <w:rPr>
          <w:rFonts w:ascii="Arial" w:hAnsi="Arial" w:cs="Arial"/>
        </w:rPr>
        <w:t xml:space="preserve"> funded by the federal government, foundations, </w:t>
      </w:r>
      <w:r w:rsidR="006F30E0">
        <w:rPr>
          <w:rFonts w:ascii="Arial" w:hAnsi="Arial" w:cs="Arial"/>
        </w:rPr>
        <w:t>and</w:t>
      </w:r>
      <w:r w:rsidR="006F30E0" w:rsidRPr="00634026">
        <w:rPr>
          <w:rFonts w:ascii="Arial" w:hAnsi="Arial" w:cs="Arial"/>
        </w:rPr>
        <w:t xml:space="preserve"> internal sources.</w:t>
      </w:r>
      <w:r w:rsidR="006F30E0" w:rsidRPr="00634026">
        <w:rPr>
          <w:rStyle w:val="EndnoteReference"/>
          <w:rFonts w:ascii="Arial" w:hAnsi="Arial" w:cs="Arial"/>
        </w:rPr>
        <w:endnoteReference w:id="1"/>
      </w:r>
      <w:r w:rsidR="006F30E0" w:rsidRPr="00634026">
        <w:rPr>
          <w:rFonts w:ascii="Arial" w:hAnsi="Arial" w:cs="Arial"/>
        </w:rPr>
        <w:t xml:space="preserve">  Translational research converts basic science insights </w:t>
      </w:r>
      <w:r w:rsidR="006F30E0">
        <w:rPr>
          <w:rFonts w:ascii="Arial" w:hAnsi="Arial" w:cs="Arial"/>
        </w:rPr>
        <w:t>in</w:t>
      </w:r>
      <w:r w:rsidR="006F30E0" w:rsidRPr="00634026">
        <w:rPr>
          <w:rFonts w:ascii="Arial" w:hAnsi="Arial" w:cs="Arial"/>
        </w:rPr>
        <w:t xml:space="preserve">to </w:t>
      </w:r>
      <w:r w:rsidR="006F30E0">
        <w:rPr>
          <w:rFonts w:ascii="Arial" w:hAnsi="Arial" w:cs="Arial"/>
        </w:rPr>
        <w:t>practical</w:t>
      </w:r>
      <w:r w:rsidR="006F30E0" w:rsidRPr="00634026">
        <w:rPr>
          <w:rFonts w:ascii="Arial" w:hAnsi="Arial" w:cs="Arial"/>
        </w:rPr>
        <w:t xml:space="preserve"> applications.</w:t>
      </w:r>
      <w:r w:rsidR="006F30E0" w:rsidRPr="00634026">
        <w:rPr>
          <w:rFonts w:ascii="Arial" w:hAnsi="Arial" w:cs="Arial"/>
          <w:color w:val="000000"/>
        </w:rPr>
        <w:t xml:space="preserve"> </w:t>
      </w:r>
      <w:r w:rsidR="006F30E0">
        <w:rPr>
          <w:rFonts w:ascii="Arial" w:hAnsi="Arial" w:cs="Arial"/>
          <w:color w:val="000000"/>
        </w:rPr>
        <w:t xml:space="preserve"> Pharmaceutical companies devote an enormous amount of funding to such </w:t>
      </w:r>
      <w:r w:rsidR="006F30E0">
        <w:rPr>
          <w:rFonts w:ascii="Arial" w:hAnsi="Arial" w:cs="Arial"/>
          <w:color w:val="000000"/>
        </w:rPr>
        <w:lastRenderedPageBreak/>
        <w:t xml:space="preserve">research, and </w:t>
      </w:r>
      <w:r w:rsidR="006F30E0" w:rsidRPr="00353416">
        <w:rPr>
          <w:rFonts w:ascii="Arial" w:hAnsi="Arial" w:cs="Arial"/>
        </w:rPr>
        <w:t xml:space="preserve">National Institutes of Health (NIH) </w:t>
      </w:r>
      <w:r w:rsidR="006F30E0">
        <w:rPr>
          <w:rFonts w:ascii="Arial" w:hAnsi="Arial" w:cs="Arial"/>
          <w:color w:val="000000"/>
        </w:rPr>
        <w:t>contributes</w:t>
      </w:r>
      <w:r w:rsidR="006F30E0" w:rsidRPr="00634026">
        <w:rPr>
          <w:rFonts w:ascii="Arial" w:hAnsi="Arial" w:cs="Arial"/>
          <w:color w:val="000000"/>
        </w:rPr>
        <w:t xml:space="preserve"> over $15 billion </w:t>
      </w:r>
      <w:r w:rsidR="006F30E0">
        <w:rPr>
          <w:rFonts w:ascii="Arial" w:hAnsi="Arial" w:cs="Arial"/>
          <w:color w:val="000000"/>
        </w:rPr>
        <w:t xml:space="preserve">from </w:t>
      </w:r>
      <w:proofErr w:type="gramStart"/>
      <w:r w:rsidR="006F30E0">
        <w:rPr>
          <w:rFonts w:ascii="Arial" w:hAnsi="Arial" w:cs="Arial"/>
          <w:color w:val="000000"/>
        </w:rPr>
        <w:t>its</w:t>
      </w:r>
      <w:proofErr w:type="gramEnd"/>
      <w:r w:rsidR="006F30E0">
        <w:rPr>
          <w:rFonts w:ascii="Arial" w:hAnsi="Arial" w:cs="Arial"/>
          <w:color w:val="000000"/>
        </w:rPr>
        <w:t xml:space="preserve"> nearly $30 billion dollar annual budget.</w:t>
      </w:r>
      <w:r w:rsidR="006F30E0" w:rsidRPr="00634026">
        <w:rPr>
          <w:rStyle w:val="EndnoteReference"/>
          <w:rFonts w:ascii="Arial" w:hAnsi="Arial" w:cs="Arial"/>
        </w:rPr>
        <w:endnoteReference w:id="2"/>
      </w:r>
      <w:r w:rsidR="006F30E0" w:rsidRPr="00634026">
        <w:rPr>
          <w:rFonts w:ascii="Arial" w:hAnsi="Arial" w:cs="Arial"/>
        </w:rPr>
        <w:t xml:space="preserve">  Translational research may occur at academic institutions, start-up</w:t>
      </w:r>
      <w:r w:rsidR="006F30E0">
        <w:rPr>
          <w:rFonts w:ascii="Arial" w:hAnsi="Arial" w:cs="Arial"/>
        </w:rPr>
        <w:t>s</w:t>
      </w:r>
      <w:r w:rsidR="006F30E0" w:rsidRPr="00634026">
        <w:rPr>
          <w:rFonts w:ascii="Arial" w:hAnsi="Arial" w:cs="Arial"/>
        </w:rPr>
        <w:t xml:space="preserve"> funded by venture capital</w:t>
      </w:r>
      <w:r w:rsidR="006F30E0">
        <w:rPr>
          <w:rFonts w:ascii="Arial" w:hAnsi="Arial" w:cs="Arial"/>
        </w:rPr>
        <w:t>, and large companies</w:t>
      </w:r>
      <w:r w:rsidR="006F30E0" w:rsidRPr="00634026">
        <w:rPr>
          <w:rFonts w:ascii="Arial" w:hAnsi="Arial" w:cs="Arial"/>
        </w:rPr>
        <w:t>.</w:t>
      </w:r>
      <w:r w:rsidR="006F30E0">
        <w:rPr>
          <w:rStyle w:val="EndnoteReference"/>
          <w:rFonts w:ascii="Arial" w:hAnsi="Arial" w:cs="Arial"/>
        </w:rPr>
        <w:endnoteReference w:id="3"/>
      </w:r>
      <w:r w:rsidR="006F30E0" w:rsidRPr="00634026">
        <w:rPr>
          <w:rFonts w:ascii="Arial" w:hAnsi="Arial" w:cs="Arial"/>
        </w:rPr>
        <w:t xml:space="preserve"> </w:t>
      </w:r>
      <w:r w:rsidR="006F30E0" w:rsidRPr="00634026">
        <w:rPr>
          <w:rFonts w:ascii="Arial" w:hAnsi="Arial" w:cs="Arial"/>
          <w:bCs/>
        </w:rPr>
        <w:t xml:space="preserve">  </w:t>
      </w:r>
      <w:r w:rsidR="006F30E0">
        <w:rPr>
          <w:rFonts w:ascii="Arial" w:hAnsi="Arial" w:cs="Arial"/>
        </w:rPr>
        <w:t xml:space="preserve">Product </w:t>
      </w:r>
      <w:r w:rsidR="006F30E0" w:rsidRPr="00634026">
        <w:rPr>
          <w:rFonts w:ascii="Arial" w:hAnsi="Arial" w:cs="Arial"/>
        </w:rPr>
        <w:t xml:space="preserve">development research, including bioavailability and trials </w:t>
      </w:r>
      <w:r w:rsidR="006F30E0">
        <w:rPr>
          <w:rFonts w:ascii="Arial" w:hAnsi="Arial" w:cs="Arial"/>
        </w:rPr>
        <w:t>to</w:t>
      </w:r>
      <w:r w:rsidR="006F30E0" w:rsidRPr="00634026">
        <w:rPr>
          <w:rFonts w:ascii="Arial" w:hAnsi="Arial" w:cs="Arial"/>
        </w:rPr>
        <w:t xml:space="preserve"> identify the efficacy and safety of a </w:t>
      </w:r>
      <w:r w:rsidR="006F30E0" w:rsidRPr="00353416">
        <w:rPr>
          <w:rFonts w:ascii="Arial" w:hAnsi="Arial" w:cs="Arial"/>
        </w:rPr>
        <w:t>drug</w:t>
      </w:r>
      <w:r w:rsidR="006F30E0">
        <w:rPr>
          <w:rFonts w:ascii="Arial" w:hAnsi="Arial" w:cs="Arial"/>
        </w:rPr>
        <w:t>, is largely left to the private sector.</w:t>
      </w:r>
      <w:r w:rsidR="006F30E0">
        <w:rPr>
          <w:rStyle w:val="EndnoteReference"/>
          <w:rFonts w:ascii="Arial" w:hAnsi="Arial" w:cs="Arial"/>
        </w:rPr>
        <w:endnoteReference w:id="4"/>
      </w:r>
      <w:r w:rsidR="006F30E0">
        <w:rPr>
          <w:rFonts w:ascii="Arial" w:hAnsi="Arial" w:cs="Arial"/>
        </w:rPr>
        <w:t xml:space="preserve">  Clinical trials encompass over $20 billion in annual costs, over two-thirds of industry R&amp;D expenditures, and are the fastest growing type of research investment.</w:t>
      </w:r>
      <w:r w:rsidR="006F30E0">
        <w:rPr>
          <w:rStyle w:val="EndnoteReference"/>
          <w:rFonts w:ascii="Arial" w:hAnsi="Arial" w:cs="Arial"/>
        </w:rPr>
        <w:endnoteReference w:id="5"/>
      </w:r>
    </w:p>
    <w:p w:rsidR="006F30E0" w:rsidRPr="005F3965" w:rsidRDefault="005F3965" w:rsidP="005F3965">
      <w:pPr>
        <w:spacing w:after="0" w:line="480" w:lineRule="auto"/>
        <w:ind w:left="720" w:right="360" w:firstLine="720"/>
        <w:rPr>
          <w:rFonts w:asciiTheme="majorHAnsi" w:hAnsiTheme="majorHAnsi" w:cs="Courier New"/>
          <w:sz w:val="24"/>
          <w:szCs w:val="24"/>
        </w:rPr>
      </w:pPr>
      <w:r>
        <w:rPr>
          <w:rFonts w:asciiTheme="majorHAnsi" w:hAnsiTheme="majorHAnsi" w:cs="Courier New"/>
          <w:sz w:val="24"/>
          <w:szCs w:val="24"/>
        </w:rPr>
        <w:t xml:space="preserve">Yet </w:t>
      </w:r>
      <w:r>
        <w:rPr>
          <w:rFonts w:ascii="Arial" w:hAnsi="Arial" w:cs="Arial"/>
        </w:rPr>
        <w:t>n</w:t>
      </w:r>
      <w:r w:rsidR="006F30E0">
        <w:rPr>
          <w:rFonts w:ascii="Arial" w:hAnsi="Arial" w:cs="Arial"/>
        </w:rPr>
        <w:t>ot</w:t>
      </w:r>
      <w:r w:rsidR="006F30E0" w:rsidRPr="00353416">
        <w:rPr>
          <w:rFonts w:ascii="Arial" w:hAnsi="Arial" w:cs="Arial"/>
          <w:bCs/>
        </w:rPr>
        <w:t xml:space="preserve"> enough is known about the relative </w:t>
      </w:r>
      <w:r w:rsidR="006F30E0">
        <w:rPr>
          <w:rFonts w:ascii="Arial" w:hAnsi="Arial" w:cs="Arial"/>
          <w:bCs/>
        </w:rPr>
        <w:t>importance</w:t>
      </w:r>
      <w:r w:rsidR="006F30E0" w:rsidRPr="00353416">
        <w:rPr>
          <w:rFonts w:ascii="Arial" w:hAnsi="Arial" w:cs="Arial"/>
          <w:bCs/>
        </w:rPr>
        <w:t xml:space="preserve"> of these different stages, or </w:t>
      </w:r>
      <w:r w:rsidR="006F30E0">
        <w:rPr>
          <w:rFonts w:ascii="Arial" w:hAnsi="Arial" w:cs="Arial"/>
          <w:bCs/>
        </w:rPr>
        <w:t>of the contributions of members of</w:t>
      </w:r>
      <w:r w:rsidR="006F30E0" w:rsidRPr="00353416">
        <w:rPr>
          <w:rFonts w:ascii="Arial" w:hAnsi="Arial" w:cs="Arial"/>
          <w:bCs/>
        </w:rPr>
        <w:t xml:space="preserve"> t</w:t>
      </w:r>
      <w:r w:rsidR="006F30E0" w:rsidRPr="00266913">
        <w:rPr>
          <w:rFonts w:ascii="Arial" w:hAnsi="Arial" w:cs="Arial"/>
          <w:bCs/>
        </w:rPr>
        <w:t>he biomedical research community, in creating</w:t>
      </w:r>
      <w:r>
        <w:rPr>
          <w:rFonts w:ascii="Arial" w:hAnsi="Arial" w:cs="Arial"/>
          <w:bCs/>
        </w:rPr>
        <w:t xml:space="preserve"> the most</w:t>
      </w:r>
      <w:r w:rsidR="006F30E0" w:rsidRPr="00266913">
        <w:rPr>
          <w:rFonts w:ascii="Arial" w:hAnsi="Arial" w:cs="Arial"/>
          <w:bCs/>
        </w:rPr>
        <w:t xml:space="preserve"> </w:t>
      </w:r>
      <w:r w:rsidR="006F30E0">
        <w:rPr>
          <w:rFonts w:ascii="Arial" w:hAnsi="Arial" w:cs="Arial"/>
          <w:bCs/>
        </w:rPr>
        <w:t xml:space="preserve">highly </w:t>
      </w:r>
      <w:r w:rsidR="006F30E0" w:rsidRPr="00266913">
        <w:rPr>
          <w:rFonts w:ascii="Arial" w:hAnsi="Arial" w:cs="Arial"/>
          <w:bCs/>
        </w:rPr>
        <w:t>innovative products</w:t>
      </w:r>
      <w:r>
        <w:rPr>
          <w:rFonts w:ascii="Arial" w:hAnsi="Arial" w:cs="Arial"/>
          <w:bCs/>
        </w:rPr>
        <w:t xml:space="preserve"> we have available for patient care</w:t>
      </w:r>
      <w:r w:rsidR="006F30E0" w:rsidRPr="00266913">
        <w:rPr>
          <w:rFonts w:ascii="Arial" w:hAnsi="Arial" w:cs="Arial"/>
          <w:bCs/>
        </w:rPr>
        <w:t>.</w:t>
      </w:r>
      <w:r w:rsidR="006F30E0" w:rsidRPr="00266913">
        <w:rPr>
          <w:rFonts w:ascii="Arial" w:hAnsi="Arial" w:cs="Arial"/>
        </w:rPr>
        <w:t xml:space="preserve">  For example, t</w:t>
      </w:r>
      <w:r w:rsidR="006F30E0" w:rsidRPr="00353416">
        <w:rPr>
          <w:rFonts w:ascii="Arial" w:hAnsi="Arial" w:cs="Arial"/>
        </w:rPr>
        <w:t>he pharmaceutical industry has contended that its research leads to most new medicines,</w:t>
      </w:r>
      <w:r w:rsidR="006F30E0" w:rsidRPr="00353416">
        <w:rPr>
          <w:rStyle w:val="EndnoteReference"/>
          <w:rFonts w:ascii="Arial" w:hAnsi="Arial" w:cs="Arial"/>
        </w:rPr>
        <w:endnoteReference w:id="6"/>
      </w:r>
      <w:r w:rsidR="006F30E0" w:rsidRPr="00353416">
        <w:rPr>
          <w:rFonts w:ascii="Arial" w:hAnsi="Arial" w:cs="Arial"/>
        </w:rPr>
        <w:t xml:space="preserve"> while arguing that public institutions like </w:t>
      </w:r>
      <w:r w:rsidR="006F30E0" w:rsidRPr="00634026">
        <w:rPr>
          <w:rFonts w:ascii="Arial" w:hAnsi="Arial" w:cs="Arial"/>
          <w:color w:val="000000"/>
        </w:rPr>
        <w:t xml:space="preserve">NIH </w:t>
      </w:r>
      <w:r w:rsidR="006F30E0" w:rsidRPr="00353416">
        <w:rPr>
          <w:rFonts w:ascii="Arial" w:hAnsi="Arial" w:cs="Arial"/>
        </w:rPr>
        <w:t>support medical innovation “distinct from the process of drug development.”</w:t>
      </w:r>
      <w:r w:rsidR="006F30E0" w:rsidRPr="00353416">
        <w:rPr>
          <w:rStyle w:val="EndnoteReference"/>
          <w:rFonts w:ascii="Arial" w:hAnsi="Arial" w:cs="Arial"/>
        </w:rPr>
        <w:endnoteReference w:id="7"/>
      </w:r>
      <w:r w:rsidR="006F30E0" w:rsidRPr="00353416">
        <w:rPr>
          <w:rFonts w:ascii="Arial" w:hAnsi="Arial" w:cs="Arial"/>
        </w:rPr>
        <w:t xml:space="preserve">  </w:t>
      </w:r>
      <w:r w:rsidR="006F30E0">
        <w:rPr>
          <w:rFonts w:ascii="Arial" w:hAnsi="Arial" w:cs="Arial"/>
          <w:bCs/>
        </w:rPr>
        <w:t>W</w:t>
      </w:r>
      <w:r w:rsidR="006F30E0" w:rsidRPr="00353416">
        <w:rPr>
          <w:rFonts w:ascii="Arial" w:hAnsi="Arial" w:cs="Arial"/>
          <w:bCs/>
        </w:rPr>
        <w:t xml:space="preserve">hile the contribution of </w:t>
      </w:r>
      <w:r w:rsidR="006F30E0">
        <w:rPr>
          <w:rFonts w:ascii="Arial" w:hAnsi="Arial" w:cs="Arial"/>
          <w:bCs/>
        </w:rPr>
        <w:t xml:space="preserve">industry-based </w:t>
      </w:r>
      <w:r w:rsidR="006F30E0" w:rsidRPr="00353416">
        <w:rPr>
          <w:rFonts w:ascii="Arial" w:hAnsi="Arial" w:cs="Arial"/>
          <w:bCs/>
        </w:rPr>
        <w:t xml:space="preserve">research </w:t>
      </w:r>
      <w:r w:rsidR="006F30E0">
        <w:rPr>
          <w:rFonts w:ascii="Arial" w:hAnsi="Arial" w:cs="Arial"/>
          <w:bCs/>
        </w:rPr>
        <w:t>to</w:t>
      </w:r>
      <w:r w:rsidR="006F30E0" w:rsidRPr="00353416">
        <w:rPr>
          <w:rFonts w:ascii="Arial" w:hAnsi="Arial" w:cs="Arial"/>
          <w:bCs/>
        </w:rPr>
        <w:t xml:space="preserve"> drug development remains vital,</w:t>
      </w:r>
      <w:r w:rsidR="006F30E0">
        <w:rPr>
          <w:rStyle w:val="EndnoteReference"/>
          <w:rFonts w:ascii="Arial" w:hAnsi="Arial" w:cs="Arial"/>
          <w:bCs/>
        </w:rPr>
        <w:endnoteReference w:id="8"/>
      </w:r>
      <w:r w:rsidR="006F30E0">
        <w:rPr>
          <w:rFonts w:ascii="Arial" w:hAnsi="Arial" w:cs="Arial"/>
          <w:bCs/>
        </w:rPr>
        <w:t xml:space="preserve"> e</w:t>
      </w:r>
      <w:r w:rsidR="006F30E0" w:rsidRPr="00353416">
        <w:rPr>
          <w:rFonts w:ascii="Arial" w:hAnsi="Arial" w:cs="Arial"/>
          <w:bCs/>
        </w:rPr>
        <w:t xml:space="preserve">merging research has also pointed to the valuable, yet under-recognized, role played by </w:t>
      </w:r>
      <w:r w:rsidR="006F30E0">
        <w:rPr>
          <w:rFonts w:ascii="Arial" w:hAnsi="Arial" w:cs="Arial"/>
          <w:bCs/>
        </w:rPr>
        <w:t>public</w:t>
      </w:r>
      <w:r w:rsidR="006F30E0" w:rsidRPr="00353416">
        <w:rPr>
          <w:rFonts w:ascii="Arial" w:hAnsi="Arial" w:cs="Arial"/>
          <w:bCs/>
        </w:rPr>
        <w:t xml:space="preserve"> investment</w:t>
      </w:r>
      <w:r w:rsidR="006F30E0">
        <w:rPr>
          <w:rFonts w:ascii="Arial" w:hAnsi="Arial" w:cs="Arial"/>
          <w:bCs/>
        </w:rPr>
        <w:t xml:space="preserve">.  </w:t>
      </w:r>
      <w:r w:rsidR="006F30E0">
        <w:rPr>
          <w:rFonts w:ascii="Arial" w:hAnsi="Arial" w:cs="Arial"/>
        </w:rPr>
        <w:t xml:space="preserve">In a study </w:t>
      </w:r>
      <w:r w:rsidR="006F30E0" w:rsidRPr="00353416">
        <w:rPr>
          <w:rFonts w:ascii="Arial" w:hAnsi="Arial" w:cs="Arial"/>
          <w:bCs/>
        </w:rPr>
        <w:t>of o</w:t>
      </w:r>
      <w:r w:rsidR="006F30E0">
        <w:rPr>
          <w:rFonts w:ascii="Arial" w:hAnsi="Arial" w:cs="Arial"/>
          <w:bCs/>
        </w:rPr>
        <w:t xml:space="preserve">ver 55,000 drug product patents, I </w:t>
      </w:r>
      <w:r w:rsidR="006F30E0" w:rsidRPr="00353416">
        <w:rPr>
          <w:rFonts w:ascii="Arial" w:hAnsi="Arial" w:cs="Arial"/>
          <w:bCs/>
        </w:rPr>
        <w:t xml:space="preserve">found that patents originating in academic, non-profit, and government settings were more </w:t>
      </w:r>
      <w:r w:rsidR="006F30E0" w:rsidRPr="00353416">
        <w:rPr>
          <w:rFonts w:ascii="Arial" w:hAnsi="Arial" w:cs="Arial"/>
        </w:rPr>
        <w:t xml:space="preserve">likely </w:t>
      </w:r>
      <w:r w:rsidR="006F30E0" w:rsidRPr="00353416">
        <w:rPr>
          <w:rFonts w:ascii="Arial" w:hAnsi="Arial" w:cs="Arial"/>
          <w:bCs/>
        </w:rPr>
        <w:t>than industry-based patents</w:t>
      </w:r>
      <w:r w:rsidR="006F30E0" w:rsidRPr="00353416">
        <w:rPr>
          <w:rFonts w:ascii="Arial" w:hAnsi="Arial" w:cs="Arial"/>
        </w:rPr>
        <w:t xml:space="preserve"> to </w:t>
      </w:r>
      <w:r w:rsidR="006F30E0">
        <w:rPr>
          <w:rFonts w:ascii="Arial" w:hAnsi="Arial" w:cs="Arial"/>
        </w:rPr>
        <w:t>be</w:t>
      </w:r>
      <w:r w:rsidR="006F30E0" w:rsidRPr="00353416">
        <w:rPr>
          <w:rFonts w:ascii="Arial" w:hAnsi="Arial" w:cs="Arial"/>
        </w:rPr>
        <w:t xml:space="preserve"> </w:t>
      </w:r>
      <w:r w:rsidR="006F30E0">
        <w:rPr>
          <w:rFonts w:ascii="Arial" w:hAnsi="Arial" w:cs="Arial"/>
        </w:rPr>
        <w:t>cited</w:t>
      </w:r>
      <w:r w:rsidR="006F30E0" w:rsidRPr="00353416">
        <w:rPr>
          <w:rFonts w:ascii="Arial" w:hAnsi="Arial" w:cs="Arial"/>
        </w:rPr>
        <w:t xml:space="preserve"> by subsequent patents, a well-established marker of value and the importance of the innovation to the field</w:t>
      </w:r>
      <w:r w:rsidR="006F30E0" w:rsidRPr="00353416">
        <w:rPr>
          <w:rFonts w:ascii="Arial" w:hAnsi="Arial" w:cs="Arial"/>
          <w:bCs/>
        </w:rPr>
        <w:t>.</w:t>
      </w:r>
      <w:r w:rsidR="006F30E0" w:rsidRPr="00353416">
        <w:rPr>
          <w:rStyle w:val="EndnoteReference"/>
          <w:rFonts w:ascii="Arial" w:hAnsi="Arial" w:cs="Arial"/>
          <w:bCs/>
        </w:rPr>
        <w:endnoteReference w:id="9"/>
      </w:r>
    </w:p>
    <w:p w:rsidR="006F30E0" w:rsidRDefault="006F30E0" w:rsidP="006F30E0">
      <w:pPr>
        <w:spacing w:after="0" w:line="480" w:lineRule="auto"/>
        <w:ind w:left="720" w:right="360" w:firstLine="720"/>
        <w:rPr>
          <w:rFonts w:asciiTheme="majorHAnsi" w:hAnsiTheme="majorHAnsi" w:cs="Courier New"/>
          <w:sz w:val="24"/>
          <w:szCs w:val="24"/>
        </w:rPr>
      </w:pPr>
      <w:r>
        <w:rPr>
          <w:rFonts w:ascii="Arial" w:hAnsi="Arial" w:cs="Arial"/>
          <w:bCs/>
        </w:rPr>
        <w:t xml:space="preserve">Public investment may be particularly important in the development of transformative “breakthrough” </w:t>
      </w:r>
      <w:proofErr w:type="gramStart"/>
      <w:r>
        <w:rPr>
          <w:rFonts w:ascii="Arial" w:hAnsi="Arial" w:cs="Arial"/>
          <w:bCs/>
        </w:rPr>
        <w:t>drugs</w:t>
      </w:r>
      <w:r w:rsidRPr="00353416">
        <w:rPr>
          <w:rFonts w:ascii="Arial" w:hAnsi="Arial" w:cs="Arial"/>
          <w:bCs/>
        </w:rPr>
        <w:t>.</w:t>
      </w:r>
      <w:r w:rsidRPr="00353416">
        <w:rPr>
          <w:rStyle w:val="EndnoteReference"/>
          <w:rFonts w:ascii="Arial" w:hAnsi="Arial" w:cs="Arial"/>
        </w:rPr>
        <w:endnoteReference w:id="10"/>
      </w:r>
      <w:r w:rsidRPr="001431AF">
        <w:rPr>
          <w:rFonts w:ascii="Arial" w:hAnsi="Arial" w:cs="Arial"/>
          <w:vertAlign w:val="superscript"/>
        </w:rPr>
        <w:t>,</w:t>
      </w:r>
      <w:proofErr w:type="gramEnd"/>
      <w:r>
        <w:rPr>
          <w:rStyle w:val="EndnoteReference"/>
          <w:rFonts w:ascii="Arial" w:hAnsi="Arial" w:cs="Arial"/>
        </w:rPr>
        <w:endnoteReference w:id="11"/>
      </w:r>
      <w:r w:rsidRPr="00353416">
        <w:rPr>
          <w:rFonts w:ascii="Arial" w:hAnsi="Arial" w:cs="Arial"/>
          <w:bCs/>
        </w:rPr>
        <w:t xml:space="preserve">  Sampat recently identified at least 72 drugs approved in the past 25 years whose patents point to involvement by </w:t>
      </w:r>
      <w:r>
        <w:rPr>
          <w:rFonts w:ascii="Arial" w:hAnsi="Arial" w:cs="Arial"/>
          <w:bCs/>
        </w:rPr>
        <w:t>academic</w:t>
      </w:r>
      <w:r w:rsidRPr="00353416">
        <w:rPr>
          <w:rFonts w:ascii="Arial" w:hAnsi="Arial" w:cs="Arial"/>
          <w:bCs/>
        </w:rPr>
        <w:t xml:space="preserve"> inventors, </w:t>
      </w:r>
      <w:r>
        <w:rPr>
          <w:rFonts w:ascii="Arial" w:hAnsi="Arial" w:cs="Arial"/>
          <w:bCs/>
        </w:rPr>
        <w:t>including</w:t>
      </w:r>
      <w:r w:rsidRPr="00353416">
        <w:rPr>
          <w:rFonts w:ascii="Arial" w:hAnsi="Arial" w:cs="Arial"/>
          <w:bCs/>
        </w:rPr>
        <w:t xml:space="preserve"> some of the most novel and clinically useful drugs produced during that time.</w:t>
      </w:r>
      <w:bookmarkStart w:id="0" w:name="_Ref236374959"/>
      <w:r w:rsidRPr="00353416">
        <w:rPr>
          <w:rStyle w:val="EndnoteReference"/>
          <w:rFonts w:ascii="Arial" w:hAnsi="Arial" w:cs="Arial"/>
          <w:bCs/>
        </w:rPr>
        <w:endnoteReference w:id="12"/>
      </w:r>
      <w:bookmarkEnd w:id="0"/>
      <w:r w:rsidRPr="00353416">
        <w:rPr>
          <w:rFonts w:ascii="Arial" w:hAnsi="Arial" w:cs="Arial"/>
          <w:bCs/>
        </w:rPr>
        <w:t xml:space="preserve">  </w:t>
      </w:r>
      <w:r>
        <w:rPr>
          <w:rFonts w:ascii="Arial" w:hAnsi="Arial" w:cs="Arial"/>
        </w:rPr>
        <w:t>In the case of</w:t>
      </w:r>
      <w:r w:rsidRPr="009D7DB7">
        <w:rPr>
          <w:rFonts w:ascii="Arial" w:hAnsi="Arial" w:cs="Arial"/>
        </w:rPr>
        <w:t xml:space="preserve"> the chemotherapy agent </w:t>
      </w:r>
      <w:proofErr w:type="spellStart"/>
      <w:r w:rsidRPr="009D7DB7">
        <w:rPr>
          <w:rFonts w:ascii="Arial" w:hAnsi="Arial" w:cs="Arial"/>
        </w:rPr>
        <w:t>paclitaxel</w:t>
      </w:r>
      <w:proofErr w:type="spellEnd"/>
      <w:r w:rsidRPr="009D7DB7">
        <w:rPr>
          <w:rFonts w:ascii="Arial" w:hAnsi="Arial" w:cs="Arial"/>
        </w:rPr>
        <w:t xml:space="preserve"> (</w:t>
      </w:r>
      <w:proofErr w:type="spellStart"/>
      <w:r w:rsidRPr="009D7DB7">
        <w:rPr>
          <w:rFonts w:ascii="Arial" w:hAnsi="Arial" w:cs="Arial"/>
        </w:rPr>
        <w:t>Taxol</w:t>
      </w:r>
      <w:proofErr w:type="spellEnd"/>
      <w:r w:rsidRPr="009D7DB7">
        <w:rPr>
          <w:rFonts w:ascii="Arial" w:hAnsi="Arial" w:cs="Arial"/>
        </w:rPr>
        <w:t>), the drug with the highest sales in the history of oncology</w:t>
      </w:r>
      <w:r>
        <w:rPr>
          <w:rFonts w:ascii="Arial" w:hAnsi="Arial" w:cs="Arial"/>
        </w:rPr>
        <w:t>, t</w:t>
      </w:r>
      <w:r w:rsidRPr="009D7DB7">
        <w:rPr>
          <w:rFonts w:ascii="Arial" w:hAnsi="Arial" w:cs="Arial"/>
        </w:rPr>
        <w:t>he General Accounting Office</w:t>
      </w:r>
      <w:r>
        <w:rPr>
          <w:rFonts w:ascii="Arial" w:hAnsi="Arial" w:cs="Arial"/>
        </w:rPr>
        <w:t xml:space="preserve"> (GAO)</w:t>
      </w:r>
      <w:r w:rsidRPr="009D7DB7">
        <w:rPr>
          <w:rFonts w:ascii="Arial" w:hAnsi="Arial" w:cs="Arial"/>
        </w:rPr>
        <w:t xml:space="preserve"> estimated that through 2002, NIH invested $484 million to fund </w:t>
      </w:r>
      <w:proofErr w:type="spellStart"/>
      <w:r w:rsidRPr="009D7DB7">
        <w:rPr>
          <w:rFonts w:ascii="Arial" w:hAnsi="Arial" w:cs="Arial"/>
        </w:rPr>
        <w:t>Taxol</w:t>
      </w:r>
      <w:proofErr w:type="spellEnd"/>
      <w:r w:rsidRPr="009D7DB7">
        <w:rPr>
          <w:rFonts w:ascii="Arial" w:hAnsi="Arial" w:cs="Arial"/>
        </w:rPr>
        <w:t>-related research</w:t>
      </w:r>
      <w:r>
        <w:rPr>
          <w:rFonts w:ascii="Arial" w:hAnsi="Arial" w:cs="Arial"/>
        </w:rPr>
        <w:t>.</w:t>
      </w:r>
      <w:r w:rsidRPr="00353416">
        <w:rPr>
          <w:rStyle w:val="EndnoteReference"/>
          <w:rFonts w:ascii="Arial" w:hAnsi="Arial" w:cs="Arial"/>
          <w:bCs/>
        </w:rPr>
        <w:endnoteReference w:id="13"/>
      </w:r>
      <w:r>
        <w:rPr>
          <w:rFonts w:ascii="Arial" w:hAnsi="Arial" w:cs="Arial"/>
        </w:rPr>
        <w:t xml:space="preserve">  Even after the NIH granted</w:t>
      </w:r>
      <w:r w:rsidRPr="009D7DB7">
        <w:rPr>
          <w:rFonts w:ascii="Arial" w:hAnsi="Arial" w:cs="Arial"/>
        </w:rPr>
        <w:t xml:space="preserve"> a development agreement </w:t>
      </w:r>
      <w:r>
        <w:rPr>
          <w:rFonts w:ascii="Arial" w:hAnsi="Arial" w:cs="Arial"/>
        </w:rPr>
        <w:t>to</w:t>
      </w:r>
      <w:r w:rsidRPr="009D7DB7">
        <w:rPr>
          <w:rFonts w:ascii="Arial" w:hAnsi="Arial" w:cs="Arial"/>
        </w:rPr>
        <w:t xml:space="preserve"> Bristol-Meyers Squibb</w:t>
      </w:r>
      <w:r>
        <w:rPr>
          <w:rFonts w:ascii="Arial" w:hAnsi="Arial" w:cs="Arial"/>
        </w:rPr>
        <w:t xml:space="preserve"> (BMS), the GAO remarked that</w:t>
      </w:r>
      <w:r w:rsidRPr="009D7DB7">
        <w:rPr>
          <w:rFonts w:ascii="Arial" w:hAnsi="Arial" w:cs="Arial"/>
        </w:rPr>
        <w:t xml:space="preserve"> “NIH conducted most of the clinical trial</w:t>
      </w:r>
      <w:r>
        <w:rPr>
          <w:rFonts w:ascii="Arial" w:hAnsi="Arial" w:cs="Arial"/>
        </w:rPr>
        <w:t>s</w:t>
      </w:r>
      <w:r w:rsidRPr="009D7DB7">
        <w:rPr>
          <w:rFonts w:ascii="Arial" w:hAnsi="Arial" w:cs="Arial"/>
        </w:rPr>
        <w:t xml:space="preserve"> associated with the drug. The results of these trials were critical for BMS to secure FDA’s approval.”</w:t>
      </w:r>
      <w:r w:rsidRPr="009D7DB7">
        <w:rPr>
          <w:rStyle w:val="EndnoteReference"/>
          <w:rFonts w:ascii="Arial" w:hAnsi="Arial" w:cs="Arial"/>
        </w:rPr>
        <w:endnoteReference w:id="14"/>
      </w:r>
    </w:p>
    <w:p w:rsidR="00462A03" w:rsidRPr="00905AE8" w:rsidRDefault="00A35C47" w:rsidP="00905AE8">
      <w:pPr>
        <w:spacing w:after="0" w:line="480" w:lineRule="auto"/>
        <w:ind w:left="720" w:right="360" w:firstLine="720"/>
        <w:rPr>
          <w:rFonts w:asciiTheme="majorHAnsi" w:hAnsiTheme="majorHAnsi" w:cs="Courier New"/>
          <w:sz w:val="24"/>
          <w:szCs w:val="24"/>
        </w:rPr>
      </w:pPr>
      <w:r w:rsidRPr="00905AE8">
        <w:rPr>
          <w:rFonts w:asciiTheme="majorHAnsi" w:hAnsiTheme="majorHAnsi" w:cs="Courier New"/>
          <w:sz w:val="24"/>
          <w:szCs w:val="24"/>
        </w:rPr>
        <w:lastRenderedPageBreak/>
        <w:t>So where do transformative drugs come from? To help answer the question, i</w:t>
      </w:r>
      <w:r w:rsidR="002528C6" w:rsidRPr="00905AE8">
        <w:rPr>
          <w:rFonts w:asciiTheme="majorHAnsi" w:hAnsiTheme="majorHAnsi"/>
          <w:sz w:val="24"/>
          <w:szCs w:val="24"/>
        </w:rPr>
        <w:t xml:space="preserve">n </w:t>
      </w:r>
      <w:r w:rsidR="00E70384" w:rsidRPr="00905AE8">
        <w:rPr>
          <w:rFonts w:asciiTheme="majorHAnsi" w:hAnsiTheme="majorHAnsi"/>
          <w:sz w:val="24"/>
          <w:szCs w:val="24"/>
        </w:rPr>
        <w:t xml:space="preserve">2012, I led a survey of clinical leaders in 15 different medical specialties from the top 30 academic medical centers in the US to determine what they thought were the most transformative drugs in their specialties to have been approved by the FDA in the past 25 years.  From an initial list of over 400 products, the experts came to consensus over the top and second-most transformative product, leading to a final </w:t>
      </w:r>
      <w:r w:rsidR="00462A03" w:rsidRPr="00905AE8">
        <w:rPr>
          <w:rFonts w:asciiTheme="majorHAnsi" w:hAnsiTheme="majorHAnsi"/>
          <w:sz w:val="24"/>
          <w:szCs w:val="24"/>
        </w:rPr>
        <w:t xml:space="preserve">list of </w:t>
      </w:r>
      <w:r w:rsidRPr="00905AE8">
        <w:rPr>
          <w:rFonts w:asciiTheme="majorHAnsi" w:hAnsiTheme="majorHAnsi" w:cs="Courier New"/>
          <w:sz w:val="24"/>
          <w:szCs w:val="24"/>
        </w:rPr>
        <w:t>26 drugs and drug classes judged to be transformative. We then examined the developmental history of each drug, based on primary sources, such as the patents, articles published in the peer-reviewed literature, and interviews with key innovators who contributed to the discovery and development of a given drug.</w:t>
      </w:r>
    </w:p>
    <w:p w:rsidR="00462A03" w:rsidRPr="00905AE8" w:rsidRDefault="00462A03" w:rsidP="00905AE8">
      <w:pPr>
        <w:spacing w:after="0" w:line="480" w:lineRule="auto"/>
        <w:ind w:left="720" w:right="360" w:firstLine="720"/>
        <w:rPr>
          <w:rFonts w:asciiTheme="majorHAnsi" w:hAnsiTheme="majorHAnsi" w:cs="Courier New"/>
          <w:sz w:val="24"/>
          <w:szCs w:val="24"/>
        </w:rPr>
      </w:pPr>
      <w:r w:rsidRPr="00905AE8">
        <w:rPr>
          <w:rFonts w:asciiTheme="majorHAnsi" w:hAnsiTheme="majorHAnsi" w:cs="Courier New"/>
          <w:sz w:val="24"/>
          <w:szCs w:val="24"/>
        </w:rPr>
        <w:t>One of the</w:t>
      </w:r>
      <w:r w:rsidR="00A35C47" w:rsidRPr="00905AE8">
        <w:rPr>
          <w:rFonts w:asciiTheme="majorHAnsi" w:hAnsiTheme="majorHAnsi" w:cs="Courier New"/>
          <w:sz w:val="24"/>
          <w:szCs w:val="24"/>
        </w:rPr>
        <w:t xml:space="preserve"> major recurring themes</w:t>
      </w:r>
      <w:r w:rsidRPr="00905AE8">
        <w:rPr>
          <w:rFonts w:asciiTheme="majorHAnsi" w:hAnsiTheme="majorHAnsi" w:cs="Courier New"/>
          <w:sz w:val="24"/>
          <w:szCs w:val="24"/>
        </w:rPr>
        <w:t xml:space="preserve"> in our results was</w:t>
      </w:r>
      <w:r w:rsidR="00A35C47" w:rsidRPr="00905AE8">
        <w:rPr>
          <w:rFonts w:asciiTheme="majorHAnsi" w:hAnsiTheme="majorHAnsi" w:cs="Courier New"/>
          <w:sz w:val="24"/>
          <w:szCs w:val="24"/>
        </w:rPr>
        <w:t xml:space="preserve"> the centrality of</w:t>
      </w:r>
      <w:r w:rsidRPr="00905AE8">
        <w:rPr>
          <w:rFonts w:asciiTheme="majorHAnsi" w:hAnsiTheme="majorHAnsi" w:cs="Courier New"/>
          <w:sz w:val="24"/>
          <w:szCs w:val="24"/>
        </w:rPr>
        <w:t xml:space="preserve"> publicly-funded government- and academic-based</w:t>
      </w:r>
      <w:r w:rsidR="00A35C47" w:rsidRPr="00905AE8">
        <w:rPr>
          <w:rFonts w:asciiTheme="majorHAnsi" w:hAnsiTheme="majorHAnsi" w:cs="Courier New"/>
          <w:sz w:val="24"/>
          <w:szCs w:val="24"/>
        </w:rPr>
        <w:t xml:space="preserve"> innovators in the development work.</w:t>
      </w:r>
      <w:r w:rsidRPr="00905AE8">
        <w:rPr>
          <w:rFonts w:asciiTheme="majorHAnsi" w:hAnsiTheme="majorHAnsi" w:cs="Courier New"/>
          <w:sz w:val="24"/>
          <w:szCs w:val="24"/>
        </w:rPr>
        <w:t xml:space="preserve"> We found that</w:t>
      </w:r>
      <w:r w:rsidR="00A35C47" w:rsidRPr="00905AE8">
        <w:rPr>
          <w:rFonts w:asciiTheme="majorHAnsi" w:hAnsiTheme="majorHAnsi" w:cs="Courier New"/>
          <w:sz w:val="24"/>
          <w:szCs w:val="24"/>
        </w:rPr>
        <w:t xml:space="preserve"> many of the transformative drugs were based on substantial drug discovery and development work performed at publicly funded research centers. This work was sometimes aided by industry collaborators who provided drug samples and other technical or scientific support. Once pivotal clinical trials began, both industry and academic physicians/scientists were almost always both closely involved.</w:t>
      </w:r>
    </w:p>
    <w:p w:rsidR="00001BE7" w:rsidRPr="00905AE8" w:rsidRDefault="00A35C47" w:rsidP="00905AE8">
      <w:pPr>
        <w:spacing w:after="0" w:line="480" w:lineRule="auto"/>
        <w:ind w:left="720" w:right="360" w:firstLine="720"/>
        <w:rPr>
          <w:rFonts w:asciiTheme="majorHAnsi" w:hAnsiTheme="majorHAnsi" w:cs="Courier New"/>
          <w:sz w:val="24"/>
          <w:szCs w:val="24"/>
        </w:rPr>
      </w:pPr>
      <w:r w:rsidRPr="00905AE8">
        <w:rPr>
          <w:rFonts w:asciiTheme="majorHAnsi" w:hAnsiTheme="majorHAnsi" w:cs="Courier New"/>
          <w:sz w:val="24"/>
          <w:szCs w:val="24"/>
        </w:rPr>
        <w:t>One pattern of interacti</w:t>
      </w:r>
      <w:r w:rsidR="00462A03" w:rsidRPr="00905AE8">
        <w:rPr>
          <w:rFonts w:asciiTheme="majorHAnsi" w:hAnsiTheme="majorHAnsi" w:cs="Courier New"/>
          <w:sz w:val="24"/>
          <w:szCs w:val="24"/>
        </w:rPr>
        <w:t xml:space="preserve">on involved academic scientists </w:t>
      </w:r>
      <w:r w:rsidRPr="00905AE8">
        <w:rPr>
          <w:rFonts w:asciiTheme="majorHAnsi" w:hAnsiTheme="majorHAnsi" w:cs="Courier New"/>
          <w:sz w:val="24"/>
          <w:szCs w:val="24"/>
        </w:rPr>
        <w:t>conceptualizing a therapeutic approach based on basic research about disease mechanisms and then demonstrating proof o</w:t>
      </w:r>
      <w:r w:rsidR="00001BE7" w:rsidRPr="00905AE8">
        <w:rPr>
          <w:rFonts w:asciiTheme="majorHAnsi" w:hAnsiTheme="majorHAnsi" w:cs="Courier New"/>
          <w:sz w:val="24"/>
          <w:szCs w:val="24"/>
        </w:rPr>
        <w:t xml:space="preserve">f concept for a given molecule. For example, </w:t>
      </w:r>
      <w:proofErr w:type="spellStart"/>
      <w:proofErr w:type="gramStart"/>
      <w:r w:rsidR="00001BE7" w:rsidRPr="00905AE8">
        <w:rPr>
          <w:rFonts w:asciiTheme="majorHAnsi" w:hAnsiTheme="majorHAnsi" w:cs="Courier New"/>
          <w:sz w:val="24"/>
          <w:szCs w:val="24"/>
        </w:rPr>
        <w:t>Gaucher</w:t>
      </w:r>
      <w:proofErr w:type="spellEnd"/>
      <w:proofErr w:type="gramEnd"/>
      <w:r w:rsidR="00001BE7" w:rsidRPr="00905AE8">
        <w:rPr>
          <w:rFonts w:asciiTheme="majorHAnsi" w:hAnsiTheme="majorHAnsi" w:cs="Courier New"/>
          <w:sz w:val="24"/>
          <w:szCs w:val="24"/>
        </w:rPr>
        <w:t xml:space="preserve"> disease is a fatal genetic disease characterized by functional deficiency in the beta-</w:t>
      </w:r>
      <w:proofErr w:type="spellStart"/>
      <w:r w:rsidR="00001BE7" w:rsidRPr="00905AE8">
        <w:rPr>
          <w:rFonts w:asciiTheme="majorHAnsi" w:hAnsiTheme="majorHAnsi" w:cs="Courier New"/>
          <w:sz w:val="24"/>
          <w:szCs w:val="24"/>
        </w:rPr>
        <w:t>glucocerebrosidase</w:t>
      </w:r>
      <w:proofErr w:type="spellEnd"/>
      <w:r w:rsidR="00001BE7" w:rsidRPr="00905AE8">
        <w:rPr>
          <w:rFonts w:asciiTheme="majorHAnsi" w:hAnsiTheme="majorHAnsi" w:cs="Courier New"/>
          <w:sz w:val="24"/>
          <w:szCs w:val="24"/>
        </w:rPr>
        <w:t xml:space="preserve"> enzyme and accumulation of pathological proteins in the body. A replacement enzyme was first harvested from human placental tissue by researchers at the National Institutes of Health (NIH) and the Scripps Clinic, and tested in small numbers of patients in 1974.</w:t>
      </w:r>
      <w:r w:rsidR="00001BE7" w:rsidRPr="00905AE8">
        <w:rPr>
          <w:rStyle w:val="EndnoteReference"/>
          <w:rFonts w:asciiTheme="majorHAnsi" w:hAnsiTheme="majorHAnsi" w:cs="Courier New"/>
          <w:sz w:val="24"/>
          <w:szCs w:val="24"/>
        </w:rPr>
        <w:endnoteReference w:id="15"/>
      </w:r>
      <w:r w:rsidR="00001BE7" w:rsidRPr="00905AE8">
        <w:rPr>
          <w:rFonts w:asciiTheme="majorHAnsi" w:hAnsiTheme="majorHAnsi" w:cs="Courier New"/>
          <w:sz w:val="24"/>
          <w:szCs w:val="24"/>
        </w:rPr>
        <w:t xml:space="preserve"> </w:t>
      </w:r>
      <w:proofErr w:type="spellStart"/>
      <w:r w:rsidR="00001BE7" w:rsidRPr="00905AE8">
        <w:rPr>
          <w:rFonts w:asciiTheme="majorHAnsi" w:hAnsiTheme="majorHAnsi" w:cs="Courier New"/>
          <w:sz w:val="24"/>
          <w:szCs w:val="24"/>
        </w:rPr>
        <w:t>Genzyme</w:t>
      </w:r>
      <w:proofErr w:type="spellEnd"/>
      <w:r w:rsidR="00001BE7" w:rsidRPr="00905AE8">
        <w:rPr>
          <w:rFonts w:asciiTheme="majorHAnsi" w:hAnsiTheme="majorHAnsi" w:cs="Courier New"/>
          <w:sz w:val="24"/>
          <w:szCs w:val="24"/>
        </w:rPr>
        <w:t xml:space="preserve"> started supplying </w:t>
      </w:r>
      <w:r w:rsidR="00001BE7" w:rsidRPr="00905AE8">
        <w:rPr>
          <w:rFonts w:asciiTheme="majorHAnsi" w:hAnsiTheme="majorHAnsi" w:cs="Courier New"/>
          <w:sz w:val="24"/>
          <w:szCs w:val="24"/>
        </w:rPr>
        <w:lastRenderedPageBreak/>
        <w:t xml:space="preserve">the enzyme in 1981, modifying it and ultimately initiating human clinical trials of the modified enzyme in 1989, leading to the 1991 approval of </w:t>
      </w:r>
      <w:proofErr w:type="spellStart"/>
      <w:r w:rsidR="00001BE7" w:rsidRPr="00905AE8">
        <w:rPr>
          <w:rFonts w:asciiTheme="majorHAnsi" w:hAnsiTheme="majorHAnsi" w:cs="Courier New"/>
          <w:sz w:val="24"/>
          <w:szCs w:val="24"/>
        </w:rPr>
        <w:t>alglucerase</w:t>
      </w:r>
      <w:proofErr w:type="spellEnd"/>
      <w:r w:rsidR="00001BE7" w:rsidRPr="00905AE8">
        <w:rPr>
          <w:rFonts w:asciiTheme="majorHAnsi" w:hAnsiTheme="majorHAnsi" w:cs="Courier New"/>
          <w:sz w:val="24"/>
          <w:szCs w:val="24"/>
        </w:rPr>
        <w:t xml:space="preserve"> (</w:t>
      </w:r>
      <w:proofErr w:type="spellStart"/>
      <w:r w:rsidR="00001BE7" w:rsidRPr="00905AE8">
        <w:rPr>
          <w:rFonts w:asciiTheme="majorHAnsi" w:hAnsiTheme="majorHAnsi" w:cs="Courier New"/>
          <w:sz w:val="24"/>
          <w:szCs w:val="24"/>
        </w:rPr>
        <w:t>Ceredase</w:t>
      </w:r>
      <w:proofErr w:type="spellEnd"/>
      <w:r w:rsidR="00001BE7" w:rsidRPr="00905AE8">
        <w:rPr>
          <w:rFonts w:asciiTheme="majorHAnsi" w:hAnsiTheme="majorHAnsi" w:cs="Courier New"/>
          <w:sz w:val="24"/>
          <w:szCs w:val="24"/>
        </w:rPr>
        <w:t xml:space="preserve">). In the case of </w:t>
      </w:r>
      <w:proofErr w:type="spellStart"/>
      <w:r w:rsidR="00001BE7" w:rsidRPr="00905AE8">
        <w:rPr>
          <w:rFonts w:asciiTheme="majorHAnsi" w:hAnsiTheme="majorHAnsi" w:cs="Courier New"/>
          <w:sz w:val="24"/>
          <w:szCs w:val="24"/>
        </w:rPr>
        <w:t>Epogen</w:t>
      </w:r>
      <w:proofErr w:type="spellEnd"/>
      <w:r w:rsidR="00001BE7" w:rsidRPr="00905AE8">
        <w:rPr>
          <w:rFonts w:asciiTheme="majorHAnsi" w:hAnsiTheme="majorHAnsi" w:cs="Courier New"/>
          <w:sz w:val="24"/>
          <w:szCs w:val="24"/>
        </w:rPr>
        <w:t xml:space="preserve">, the recombinant </w:t>
      </w:r>
      <w:proofErr w:type="spellStart"/>
      <w:r w:rsidR="00001BE7" w:rsidRPr="00905AE8">
        <w:rPr>
          <w:rFonts w:asciiTheme="majorHAnsi" w:hAnsiTheme="majorHAnsi" w:cs="Courier New"/>
          <w:sz w:val="24"/>
          <w:szCs w:val="24"/>
        </w:rPr>
        <w:t>erthryopoeitin</w:t>
      </w:r>
      <w:proofErr w:type="spellEnd"/>
      <w:r w:rsidR="00001BE7" w:rsidRPr="00905AE8">
        <w:rPr>
          <w:rFonts w:asciiTheme="majorHAnsi" w:hAnsiTheme="majorHAnsi" w:cs="Courier New"/>
          <w:sz w:val="24"/>
          <w:szCs w:val="24"/>
        </w:rPr>
        <w:t xml:space="preserve"> used to treat anemia, over 70 years elapsed between its discovery in the human body and its purification at the University of Chicago laboratory of Eugene </w:t>
      </w:r>
      <w:proofErr w:type="spellStart"/>
      <w:r w:rsidR="00001BE7" w:rsidRPr="00905AE8">
        <w:rPr>
          <w:rFonts w:asciiTheme="majorHAnsi" w:hAnsiTheme="majorHAnsi" w:cs="Courier New"/>
          <w:sz w:val="24"/>
          <w:szCs w:val="24"/>
        </w:rPr>
        <w:t>Goldwasser</w:t>
      </w:r>
      <w:proofErr w:type="spellEnd"/>
      <w:r w:rsidR="00001BE7" w:rsidRPr="00905AE8">
        <w:rPr>
          <w:rFonts w:asciiTheme="majorHAnsi" w:hAnsiTheme="majorHAnsi" w:cs="Courier New"/>
          <w:sz w:val="24"/>
          <w:szCs w:val="24"/>
        </w:rPr>
        <w:t xml:space="preserve"> in 1971, </w:t>
      </w:r>
      <w:proofErr w:type="gramStart"/>
      <w:r w:rsidR="00001BE7" w:rsidRPr="00905AE8">
        <w:rPr>
          <w:rFonts w:asciiTheme="majorHAnsi" w:hAnsiTheme="majorHAnsi" w:cs="Courier New"/>
          <w:sz w:val="24"/>
          <w:szCs w:val="24"/>
        </w:rPr>
        <w:t>who</w:t>
      </w:r>
      <w:proofErr w:type="gramEnd"/>
      <w:r w:rsidR="00001BE7" w:rsidRPr="00905AE8">
        <w:rPr>
          <w:rFonts w:asciiTheme="majorHAnsi" w:hAnsiTheme="majorHAnsi" w:cs="Courier New"/>
          <w:sz w:val="24"/>
          <w:szCs w:val="24"/>
        </w:rPr>
        <w:t xml:space="preserve"> also proved its effect in a small, unpublished clinical trial.</w:t>
      </w:r>
      <w:r w:rsidR="00001BE7" w:rsidRPr="00905AE8">
        <w:rPr>
          <w:rStyle w:val="EndnoteReference"/>
          <w:rFonts w:asciiTheme="majorHAnsi" w:hAnsiTheme="majorHAnsi" w:cs="Courier New"/>
          <w:sz w:val="24"/>
          <w:szCs w:val="24"/>
        </w:rPr>
        <w:endnoteReference w:id="16"/>
      </w:r>
      <w:r w:rsidR="00001BE7" w:rsidRPr="00905AE8">
        <w:rPr>
          <w:rFonts w:asciiTheme="majorHAnsi" w:hAnsiTheme="majorHAnsi" w:cs="Courier New"/>
          <w:sz w:val="24"/>
          <w:szCs w:val="24"/>
        </w:rPr>
        <w:t xml:space="preserve">  With </w:t>
      </w:r>
      <w:proofErr w:type="spellStart"/>
      <w:r w:rsidR="00001BE7" w:rsidRPr="00905AE8">
        <w:rPr>
          <w:rFonts w:asciiTheme="majorHAnsi" w:hAnsiTheme="majorHAnsi" w:cs="Courier New"/>
          <w:sz w:val="24"/>
          <w:szCs w:val="24"/>
        </w:rPr>
        <w:t>Goldwasser’s</w:t>
      </w:r>
      <w:proofErr w:type="spellEnd"/>
      <w:r w:rsidR="00001BE7" w:rsidRPr="00905AE8">
        <w:rPr>
          <w:rFonts w:asciiTheme="majorHAnsi" w:hAnsiTheme="majorHAnsi" w:cs="Courier New"/>
          <w:sz w:val="24"/>
          <w:szCs w:val="24"/>
        </w:rPr>
        <w:t xml:space="preserve"> help as a consultant, Amgen researchers cloned the gene over a decade later and produced large quantities of biologically active product, leading to its 1989 approval.</w:t>
      </w:r>
      <w:r w:rsidR="00001BE7" w:rsidRPr="00905AE8">
        <w:rPr>
          <w:rStyle w:val="EndnoteReference"/>
          <w:rFonts w:asciiTheme="majorHAnsi" w:hAnsiTheme="majorHAnsi" w:cs="Courier New"/>
          <w:sz w:val="24"/>
          <w:szCs w:val="24"/>
        </w:rPr>
        <w:endnoteReference w:id="17"/>
      </w:r>
      <w:r w:rsidR="00001BE7" w:rsidRPr="00905AE8">
        <w:rPr>
          <w:rFonts w:asciiTheme="majorHAnsi" w:hAnsiTheme="majorHAnsi" w:cs="Courier New"/>
          <w:sz w:val="24"/>
          <w:szCs w:val="24"/>
        </w:rPr>
        <w:t xml:space="preserve">  </w:t>
      </w:r>
      <w:proofErr w:type="spellStart"/>
      <w:r w:rsidR="00001BE7" w:rsidRPr="00905AE8">
        <w:rPr>
          <w:rFonts w:asciiTheme="majorHAnsi" w:hAnsiTheme="majorHAnsi" w:cs="Courier New"/>
          <w:sz w:val="24"/>
          <w:szCs w:val="24"/>
        </w:rPr>
        <w:t>Imatinib</w:t>
      </w:r>
      <w:proofErr w:type="spellEnd"/>
      <w:r w:rsidR="00001BE7" w:rsidRPr="00905AE8">
        <w:rPr>
          <w:rFonts w:asciiTheme="majorHAnsi" w:hAnsiTheme="majorHAnsi" w:cs="Courier New"/>
          <w:sz w:val="24"/>
          <w:szCs w:val="24"/>
        </w:rPr>
        <w:t xml:space="preserve"> arose based on the work of Brian </w:t>
      </w:r>
      <w:proofErr w:type="spellStart"/>
      <w:r w:rsidR="00001BE7" w:rsidRPr="00905AE8">
        <w:rPr>
          <w:rFonts w:asciiTheme="majorHAnsi" w:hAnsiTheme="majorHAnsi" w:cs="Courier New"/>
          <w:sz w:val="24"/>
          <w:szCs w:val="24"/>
        </w:rPr>
        <w:t>Druker</w:t>
      </w:r>
      <w:proofErr w:type="spellEnd"/>
      <w:r w:rsidR="00001BE7" w:rsidRPr="00905AE8">
        <w:rPr>
          <w:rFonts w:asciiTheme="majorHAnsi" w:hAnsiTheme="majorHAnsi" w:cs="Courier New"/>
          <w:sz w:val="24"/>
          <w:szCs w:val="24"/>
        </w:rPr>
        <w:t xml:space="preserve"> at Dana-Farber Cancer Institute who set out to prove the concept </w:t>
      </w:r>
      <w:proofErr w:type="gramStart"/>
      <w:r w:rsidR="00001BE7" w:rsidRPr="00905AE8">
        <w:rPr>
          <w:rFonts w:asciiTheme="majorHAnsi" w:hAnsiTheme="majorHAnsi" w:cs="Courier New"/>
          <w:sz w:val="24"/>
          <w:szCs w:val="24"/>
        </w:rPr>
        <w:t>that</w:t>
      </w:r>
      <w:proofErr w:type="gramEnd"/>
      <w:r w:rsidR="00001BE7" w:rsidRPr="00905AE8">
        <w:rPr>
          <w:rFonts w:asciiTheme="majorHAnsi" w:hAnsiTheme="majorHAnsi" w:cs="Courier New"/>
          <w:sz w:val="24"/>
          <w:szCs w:val="24"/>
        </w:rPr>
        <w:t xml:space="preserve"> tyrosine </w:t>
      </w:r>
      <w:proofErr w:type="spellStart"/>
      <w:r w:rsidR="00001BE7" w:rsidRPr="00905AE8">
        <w:rPr>
          <w:rFonts w:asciiTheme="majorHAnsi" w:hAnsiTheme="majorHAnsi" w:cs="Courier New"/>
          <w:sz w:val="24"/>
          <w:szCs w:val="24"/>
        </w:rPr>
        <w:t>kinase</w:t>
      </w:r>
      <w:proofErr w:type="spellEnd"/>
      <w:r w:rsidR="00001BE7" w:rsidRPr="00905AE8">
        <w:rPr>
          <w:rFonts w:asciiTheme="majorHAnsi" w:hAnsiTheme="majorHAnsi" w:cs="Courier New"/>
          <w:sz w:val="24"/>
          <w:szCs w:val="24"/>
        </w:rPr>
        <w:t xml:space="preserve"> inhibitors that could inhibit the </w:t>
      </w:r>
      <w:proofErr w:type="spellStart"/>
      <w:r w:rsidR="00001BE7" w:rsidRPr="00905AE8">
        <w:rPr>
          <w:rFonts w:asciiTheme="majorHAnsi" w:hAnsiTheme="majorHAnsi" w:cs="Courier New"/>
          <w:i/>
          <w:sz w:val="24"/>
          <w:szCs w:val="24"/>
        </w:rPr>
        <w:t>bcr-abl</w:t>
      </w:r>
      <w:proofErr w:type="spellEnd"/>
      <w:r w:rsidR="00001BE7" w:rsidRPr="00905AE8">
        <w:rPr>
          <w:rFonts w:asciiTheme="majorHAnsi" w:hAnsiTheme="majorHAnsi" w:cs="Courier New"/>
          <w:sz w:val="24"/>
          <w:szCs w:val="24"/>
        </w:rPr>
        <w:t xml:space="preserve"> tyrosine </w:t>
      </w:r>
      <w:proofErr w:type="spellStart"/>
      <w:r w:rsidR="00001BE7" w:rsidRPr="00905AE8">
        <w:rPr>
          <w:rFonts w:asciiTheme="majorHAnsi" w:hAnsiTheme="majorHAnsi" w:cs="Courier New"/>
          <w:sz w:val="24"/>
          <w:szCs w:val="24"/>
        </w:rPr>
        <w:t>kinase</w:t>
      </w:r>
      <w:proofErr w:type="spellEnd"/>
      <w:r w:rsidR="00001BE7" w:rsidRPr="00905AE8">
        <w:rPr>
          <w:rFonts w:asciiTheme="majorHAnsi" w:hAnsiTheme="majorHAnsi" w:cs="Courier New"/>
          <w:sz w:val="24"/>
          <w:szCs w:val="24"/>
        </w:rPr>
        <w:t xml:space="preserve"> enzyme responsible for chronic </w:t>
      </w:r>
      <w:proofErr w:type="spellStart"/>
      <w:r w:rsidR="00001BE7" w:rsidRPr="00905AE8">
        <w:rPr>
          <w:rFonts w:asciiTheme="majorHAnsi" w:hAnsiTheme="majorHAnsi" w:cs="Courier New"/>
          <w:sz w:val="24"/>
          <w:szCs w:val="24"/>
        </w:rPr>
        <w:t>myelogenous</w:t>
      </w:r>
      <w:proofErr w:type="spellEnd"/>
      <w:r w:rsidR="00001BE7" w:rsidRPr="00905AE8">
        <w:rPr>
          <w:rFonts w:asciiTheme="majorHAnsi" w:hAnsiTheme="majorHAnsi" w:cs="Courier New"/>
          <w:sz w:val="24"/>
          <w:szCs w:val="24"/>
        </w:rPr>
        <w:t xml:space="preserve"> leukemia (CML). NIH-funded basic science research in the four decades leading up to </w:t>
      </w:r>
      <w:proofErr w:type="spellStart"/>
      <w:r w:rsidR="00001BE7" w:rsidRPr="00905AE8">
        <w:rPr>
          <w:rFonts w:asciiTheme="majorHAnsi" w:hAnsiTheme="majorHAnsi" w:cs="Courier New"/>
          <w:sz w:val="24"/>
          <w:szCs w:val="24"/>
        </w:rPr>
        <w:t>Druker’s</w:t>
      </w:r>
      <w:proofErr w:type="spellEnd"/>
      <w:r w:rsidR="00001BE7" w:rsidRPr="00905AE8">
        <w:rPr>
          <w:rFonts w:asciiTheme="majorHAnsi" w:hAnsiTheme="majorHAnsi" w:cs="Courier New"/>
          <w:sz w:val="24"/>
          <w:szCs w:val="24"/>
        </w:rPr>
        <w:t xml:space="preserve"> work had identified protein translocations in CML, which pointed to protein </w:t>
      </w:r>
      <w:proofErr w:type="spellStart"/>
      <w:r w:rsidR="00001BE7" w:rsidRPr="00905AE8">
        <w:rPr>
          <w:rFonts w:asciiTheme="majorHAnsi" w:hAnsiTheme="majorHAnsi" w:cs="Courier New"/>
          <w:sz w:val="24"/>
          <w:szCs w:val="24"/>
        </w:rPr>
        <w:t>kinase</w:t>
      </w:r>
      <w:proofErr w:type="spellEnd"/>
      <w:r w:rsidR="00001BE7" w:rsidRPr="00905AE8">
        <w:rPr>
          <w:rFonts w:asciiTheme="majorHAnsi" w:hAnsiTheme="majorHAnsi" w:cs="Courier New"/>
          <w:sz w:val="24"/>
          <w:szCs w:val="24"/>
        </w:rPr>
        <w:t xml:space="preserve"> </w:t>
      </w:r>
      <w:proofErr w:type="spellStart"/>
      <w:r w:rsidR="00001BE7" w:rsidRPr="00905AE8">
        <w:rPr>
          <w:rFonts w:asciiTheme="majorHAnsi" w:hAnsiTheme="majorHAnsi" w:cs="Courier New"/>
          <w:sz w:val="24"/>
          <w:szCs w:val="24"/>
        </w:rPr>
        <w:t>overactivity</w:t>
      </w:r>
      <w:proofErr w:type="spellEnd"/>
      <w:r w:rsidR="00001BE7" w:rsidRPr="00905AE8">
        <w:rPr>
          <w:rFonts w:asciiTheme="majorHAnsi" w:hAnsiTheme="majorHAnsi" w:cs="Courier New"/>
          <w:sz w:val="24"/>
          <w:szCs w:val="24"/>
        </w:rPr>
        <w:t xml:space="preserve">. When </w:t>
      </w:r>
      <w:proofErr w:type="spellStart"/>
      <w:r w:rsidR="00001BE7" w:rsidRPr="00905AE8">
        <w:rPr>
          <w:rFonts w:asciiTheme="majorHAnsi" w:hAnsiTheme="majorHAnsi" w:cs="Courier New"/>
          <w:sz w:val="24"/>
          <w:szCs w:val="24"/>
        </w:rPr>
        <w:t>Druker</w:t>
      </w:r>
      <w:proofErr w:type="spellEnd"/>
      <w:r w:rsidR="00001BE7" w:rsidRPr="00905AE8">
        <w:rPr>
          <w:rFonts w:asciiTheme="majorHAnsi" w:hAnsiTheme="majorHAnsi" w:cs="Courier New"/>
          <w:sz w:val="24"/>
          <w:szCs w:val="24"/>
        </w:rPr>
        <w:t xml:space="preserve"> applied selections from Ciba-Geigy’s library of tyrosine </w:t>
      </w:r>
      <w:proofErr w:type="spellStart"/>
      <w:r w:rsidR="00001BE7" w:rsidRPr="00905AE8">
        <w:rPr>
          <w:rFonts w:asciiTheme="majorHAnsi" w:hAnsiTheme="majorHAnsi" w:cs="Courier New"/>
          <w:sz w:val="24"/>
          <w:szCs w:val="24"/>
        </w:rPr>
        <w:t>kinase</w:t>
      </w:r>
      <w:proofErr w:type="spellEnd"/>
      <w:r w:rsidR="00001BE7" w:rsidRPr="00905AE8">
        <w:rPr>
          <w:rFonts w:asciiTheme="majorHAnsi" w:hAnsiTheme="majorHAnsi" w:cs="Courier New"/>
          <w:sz w:val="24"/>
          <w:szCs w:val="24"/>
        </w:rPr>
        <w:t xml:space="preserve"> inhibitors for activity in his laboratory model, he identified </w:t>
      </w:r>
      <w:proofErr w:type="spellStart"/>
      <w:r w:rsidR="00001BE7" w:rsidRPr="00905AE8">
        <w:rPr>
          <w:rFonts w:asciiTheme="majorHAnsi" w:hAnsiTheme="majorHAnsi" w:cs="Courier New"/>
          <w:sz w:val="24"/>
          <w:szCs w:val="24"/>
        </w:rPr>
        <w:t>imatinib</w:t>
      </w:r>
      <w:proofErr w:type="spellEnd"/>
      <w:r w:rsidR="00001BE7" w:rsidRPr="00905AE8">
        <w:rPr>
          <w:rFonts w:asciiTheme="majorHAnsi" w:hAnsiTheme="majorHAnsi" w:cs="Courier New"/>
          <w:sz w:val="24"/>
          <w:szCs w:val="24"/>
        </w:rPr>
        <w:t xml:space="preserve"> as an active agent.</w:t>
      </w:r>
      <w:r w:rsidR="00001BE7" w:rsidRPr="00905AE8">
        <w:rPr>
          <w:rStyle w:val="EndnoteReference"/>
          <w:rFonts w:asciiTheme="majorHAnsi" w:hAnsiTheme="majorHAnsi" w:cs="Courier New"/>
          <w:sz w:val="24"/>
          <w:szCs w:val="24"/>
        </w:rPr>
        <w:endnoteReference w:id="18"/>
      </w:r>
    </w:p>
    <w:p w:rsidR="00905AE8" w:rsidRPr="00905AE8" w:rsidRDefault="00905AE8" w:rsidP="00905AE8">
      <w:pPr>
        <w:spacing w:after="0" w:line="480" w:lineRule="auto"/>
        <w:ind w:left="720" w:right="360" w:firstLine="720"/>
        <w:rPr>
          <w:rFonts w:asciiTheme="majorHAnsi" w:hAnsiTheme="majorHAnsi" w:cs="Courier New"/>
          <w:sz w:val="24"/>
          <w:szCs w:val="24"/>
        </w:rPr>
      </w:pPr>
      <w:r w:rsidRPr="00905AE8">
        <w:rPr>
          <w:rFonts w:asciiTheme="majorHAnsi" w:hAnsiTheme="majorHAnsi" w:cs="Courier New"/>
          <w:sz w:val="24"/>
          <w:szCs w:val="24"/>
        </w:rPr>
        <w:t xml:space="preserve">In one variation on this theme, seminal scientific concepts first arose in university settings, and were later followed up in the industry setting. For example, the discovery of </w:t>
      </w:r>
      <w:proofErr w:type="spellStart"/>
      <w:r w:rsidRPr="00905AE8">
        <w:rPr>
          <w:rFonts w:asciiTheme="majorHAnsi" w:hAnsiTheme="majorHAnsi" w:cs="Courier New"/>
          <w:sz w:val="24"/>
          <w:szCs w:val="24"/>
        </w:rPr>
        <w:t>tamsulosin</w:t>
      </w:r>
      <w:proofErr w:type="spellEnd"/>
      <w:r w:rsidRPr="00905AE8">
        <w:rPr>
          <w:rFonts w:asciiTheme="majorHAnsi" w:hAnsiTheme="majorHAnsi" w:cs="Courier New"/>
          <w:sz w:val="24"/>
          <w:szCs w:val="24"/>
        </w:rPr>
        <w:t xml:space="preserve"> (</w:t>
      </w:r>
      <w:proofErr w:type="spellStart"/>
      <w:r w:rsidRPr="00905AE8">
        <w:rPr>
          <w:rFonts w:asciiTheme="majorHAnsi" w:hAnsiTheme="majorHAnsi" w:cs="Courier New"/>
          <w:sz w:val="24"/>
          <w:szCs w:val="24"/>
        </w:rPr>
        <w:t>Flomax</w:t>
      </w:r>
      <w:proofErr w:type="spellEnd"/>
      <w:r w:rsidRPr="00905AE8">
        <w:rPr>
          <w:rFonts w:asciiTheme="majorHAnsi" w:hAnsiTheme="majorHAnsi" w:cs="Courier New"/>
          <w:sz w:val="24"/>
          <w:szCs w:val="24"/>
        </w:rPr>
        <w:t xml:space="preserve">) to treat benign prostatic hypertrophy was catalyzed in 1975, when Marco </w:t>
      </w:r>
      <w:proofErr w:type="spellStart"/>
      <w:r w:rsidRPr="00905AE8">
        <w:rPr>
          <w:rFonts w:asciiTheme="majorHAnsi" w:hAnsiTheme="majorHAnsi" w:cs="Courier New"/>
          <w:sz w:val="24"/>
          <w:szCs w:val="24"/>
        </w:rPr>
        <w:t>Caine</w:t>
      </w:r>
      <w:proofErr w:type="spellEnd"/>
      <w:r w:rsidRPr="00905AE8">
        <w:rPr>
          <w:rFonts w:asciiTheme="majorHAnsi" w:hAnsiTheme="majorHAnsi" w:cs="Courier New"/>
          <w:sz w:val="24"/>
          <w:szCs w:val="24"/>
        </w:rPr>
        <w:t xml:space="preserve"> and colleagues at Jerusalem’s Hadassah Medical Center described the alpha-adrenergic receptors in prostate smooth muscle and reported that </w:t>
      </w:r>
      <w:proofErr w:type="spellStart"/>
      <w:r w:rsidRPr="00905AE8">
        <w:rPr>
          <w:rFonts w:asciiTheme="majorHAnsi" w:hAnsiTheme="majorHAnsi" w:cs="Courier New"/>
          <w:sz w:val="24"/>
          <w:szCs w:val="24"/>
        </w:rPr>
        <w:t>phenoxybenzamine</w:t>
      </w:r>
      <w:proofErr w:type="spellEnd"/>
      <w:r w:rsidRPr="00905AE8">
        <w:rPr>
          <w:rFonts w:asciiTheme="majorHAnsi" w:hAnsiTheme="majorHAnsi" w:cs="Courier New"/>
          <w:sz w:val="24"/>
          <w:szCs w:val="24"/>
        </w:rPr>
        <w:t>, a nonselective alpha-adrenergic receptor antagonist, was effective in treating prostatic hypertrophy.</w:t>
      </w:r>
      <w:r w:rsidRPr="00905AE8">
        <w:rPr>
          <w:rStyle w:val="EndnoteReference"/>
          <w:rFonts w:asciiTheme="majorHAnsi" w:hAnsiTheme="majorHAnsi" w:cs="Courier New"/>
          <w:sz w:val="24"/>
          <w:szCs w:val="24"/>
        </w:rPr>
        <w:endnoteReference w:id="19"/>
      </w:r>
      <w:r w:rsidRPr="00905AE8">
        <w:rPr>
          <w:rFonts w:asciiTheme="majorHAnsi" w:hAnsiTheme="majorHAnsi" w:cs="Courier New"/>
          <w:sz w:val="24"/>
          <w:szCs w:val="24"/>
        </w:rPr>
        <w:t xml:space="preserve"> </w:t>
      </w:r>
      <w:proofErr w:type="spellStart"/>
      <w:r w:rsidRPr="00905AE8">
        <w:rPr>
          <w:rFonts w:asciiTheme="majorHAnsi" w:hAnsiTheme="majorHAnsi" w:cs="Courier New"/>
          <w:sz w:val="24"/>
          <w:szCs w:val="24"/>
        </w:rPr>
        <w:t>Toichi</w:t>
      </w:r>
      <w:proofErr w:type="spellEnd"/>
      <w:r w:rsidRPr="00905AE8">
        <w:rPr>
          <w:rFonts w:asciiTheme="majorHAnsi" w:hAnsiTheme="majorHAnsi" w:cs="Courier New"/>
          <w:sz w:val="24"/>
          <w:szCs w:val="24"/>
        </w:rPr>
        <w:t xml:space="preserve"> </w:t>
      </w:r>
      <w:proofErr w:type="spellStart"/>
      <w:r w:rsidRPr="00905AE8">
        <w:rPr>
          <w:rFonts w:asciiTheme="majorHAnsi" w:hAnsiTheme="majorHAnsi" w:cs="Courier New"/>
          <w:sz w:val="24"/>
          <w:szCs w:val="24"/>
        </w:rPr>
        <w:t>Takaneka</w:t>
      </w:r>
      <w:proofErr w:type="spellEnd"/>
      <w:r w:rsidRPr="00905AE8">
        <w:rPr>
          <w:rFonts w:asciiTheme="majorHAnsi" w:hAnsiTheme="majorHAnsi" w:cs="Courier New"/>
          <w:sz w:val="24"/>
          <w:szCs w:val="24"/>
        </w:rPr>
        <w:t xml:space="preserve"> at </w:t>
      </w:r>
      <w:proofErr w:type="spellStart"/>
      <w:r w:rsidRPr="00905AE8">
        <w:rPr>
          <w:rFonts w:asciiTheme="majorHAnsi" w:hAnsiTheme="majorHAnsi" w:cs="Courier New"/>
          <w:sz w:val="24"/>
          <w:szCs w:val="24"/>
        </w:rPr>
        <w:t>Yamnouchi</w:t>
      </w:r>
      <w:proofErr w:type="spellEnd"/>
      <w:r w:rsidRPr="00905AE8">
        <w:rPr>
          <w:rFonts w:asciiTheme="majorHAnsi" w:hAnsiTheme="majorHAnsi" w:cs="Courier New"/>
          <w:sz w:val="24"/>
          <w:szCs w:val="24"/>
        </w:rPr>
        <w:t xml:space="preserve"> Pharmaceuticals then showed that the alpha-1-adrenergic receptor subtype controlled prostatic smooth muscle. In collaboration with </w:t>
      </w:r>
      <w:proofErr w:type="spellStart"/>
      <w:r w:rsidRPr="00905AE8">
        <w:rPr>
          <w:rFonts w:asciiTheme="majorHAnsi" w:hAnsiTheme="majorHAnsi" w:cs="Courier New"/>
          <w:sz w:val="24"/>
          <w:szCs w:val="24"/>
        </w:rPr>
        <w:t>Kazuki</w:t>
      </w:r>
      <w:proofErr w:type="spellEnd"/>
      <w:r w:rsidRPr="00905AE8">
        <w:rPr>
          <w:rFonts w:asciiTheme="majorHAnsi" w:hAnsiTheme="majorHAnsi" w:cs="Courier New"/>
          <w:sz w:val="24"/>
          <w:szCs w:val="24"/>
        </w:rPr>
        <w:t xml:space="preserve"> </w:t>
      </w:r>
      <w:proofErr w:type="spellStart"/>
      <w:r w:rsidRPr="00905AE8">
        <w:rPr>
          <w:rFonts w:asciiTheme="majorHAnsi" w:hAnsiTheme="majorHAnsi" w:cs="Courier New"/>
          <w:sz w:val="24"/>
          <w:szCs w:val="24"/>
        </w:rPr>
        <w:t>Kawabe</w:t>
      </w:r>
      <w:proofErr w:type="spellEnd"/>
      <w:r w:rsidRPr="00905AE8">
        <w:rPr>
          <w:rFonts w:asciiTheme="majorHAnsi" w:hAnsiTheme="majorHAnsi" w:cs="Courier New"/>
          <w:sz w:val="24"/>
          <w:szCs w:val="24"/>
        </w:rPr>
        <w:t xml:space="preserve"> at University of Tokyo, he searched for a new type of selective antagonist, leading to the initial </w:t>
      </w:r>
      <w:r w:rsidRPr="00905AE8">
        <w:rPr>
          <w:rFonts w:asciiTheme="majorHAnsi" w:hAnsiTheme="majorHAnsi" w:cs="Courier New"/>
          <w:sz w:val="24"/>
          <w:szCs w:val="24"/>
        </w:rPr>
        <w:lastRenderedPageBreak/>
        <w:t xml:space="preserve">discovery of </w:t>
      </w:r>
      <w:proofErr w:type="spellStart"/>
      <w:r w:rsidRPr="00905AE8">
        <w:rPr>
          <w:rFonts w:asciiTheme="majorHAnsi" w:hAnsiTheme="majorHAnsi" w:cs="Courier New"/>
          <w:sz w:val="24"/>
          <w:szCs w:val="24"/>
        </w:rPr>
        <w:t>tamsulosin</w:t>
      </w:r>
      <w:proofErr w:type="spellEnd"/>
      <w:r w:rsidRPr="00905AE8">
        <w:rPr>
          <w:rFonts w:asciiTheme="majorHAnsi" w:hAnsiTheme="majorHAnsi" w:cs="Courier New"/>
          <w:sz w:val="24"/>
          <w:szCs w:val="24"/>
        </w:rPr>
        <w:t>.</w:t>
      </w:r>
      <w:r w:rsidRPr="00905AE8">
        <w:rPr>
          <w:rStyle w:val="EndnoteReference"/>
          <w:rFonts w:asciiTheme="majorHAnsi" w:hAnsiTheme="majorHAnsi" w:cs="Courier New"/>
          <w:sz w:val="24"/>
          <w:szCs w:val="24"/>
        </w:rPr>
        <w:endnoteReference w:id="20"/>
      </w:r>
      <w:r w:rsidRPr="00905AE8">
        <w:rPr>
          <w:rFonts w:asciiTheme="majorHAnsi" w:hAnsiTheme="majorHAnsi" w:cs="Courier New"/>
          <w:sz w:val="24"/>
          <w:szCs w:val="24"/>
        </w:rPr>
        <w:t xml:space="preserve">  </w:t>
      </w:r>
      <w:r w:rsidR="00A35C47" w:rsidRPr="00905AE8">
        <w:rPr>
          <w:rFonts w:asciiTheme="majorHAnsi" w:hAnsiTheme="majorHAnsi" w:cs="Courier New"/>
          <w:sz w:val="24"/>
          <w:szCs w:val="24"/>
        </w:rPr>
        <w:t xml:space="preserve">The discovery of SSRI antidepressants dates back to the 1960s, when </w:t>
      </w:r>
      <w:proofErr w:type="spellStart"/>
      <w:r w:rsidR="00A35C47" w:rsidRPr="00905AE8">
        <w:rPr>
          <w:rFonts w:asciiTheme="majorHAnsi" w:hAnsiTheme="majorHAnsi" w:cs="Courier New"/>
          <w:sz w:val="24"/>
          <w:szCs w:val="24"/>
        </w:rPr>
        <w:t>Arvid</w:t>
      </w:r>
      <w:proofErr w:type="spellEnd"/>
      <w:r w:rsidR="00A35C47" w:rsidRPr="00905AE8">
        <w:rPr>
          <w:rFonts w:asciiTheme="majorHAnsi" w:hAnsiTheme="majorHAnsi" w:cs="Courier New"/>
          <w:sz w:val="24"/>
          <w:szCs w:val="24"/>
        </w:rPr>
        <w:t xml:space="preserve"> </w:t>
      </w:r>
      <w:proofErr w:type="spellStart"/>
      <w:r w:rsidR="00A35C47" w:rsidRPr="00905AE8">
        <w:rPr>
          <w:rFonts w:asciiTheme="majorHAnsi" w:hAnsiTheme="majorHAnsi" w:cs="Courier New"/>
          <w:sz w:val="24"/>
          <w:szCs w:val="24"/>
        </w:rPr>
        <w:t>Carlsson</w:t>
      </w:r>
      <w:proofErr w:type="spellEnd"/>
      <w:r w:rsidR="00A35C47" w:rsidRPr="00905AE8">
        <w:rPr>
          <w:rFonts w:asciiTheme="majorHAnsi" w:hAnsiTheme="majorHAnsi" w:cs="Courier New"/>
          <w:sz w:val="24"/>
          <w:szCs w:val="24"/>
        </w:rPr>
        <w:t xml:space="preserve"> and his colleagues at the University of Lund in Sweden investigated serotonin’s role in depression. They synthesized the first SSRI, </w:t>
      </w:r>
      <w:proofErr w:type="spellStart"/>
      <w:r w:rsidRPr="00905AE8">
        <w:rPr>
          <w:rFonts w:asciiTheme="majorHAnsi" w:hAnsiTheme="majorHAnsi" w:cs="Courier New"/>
          <w:sz w:val="24"/>
          <w:szCs w:val="24"/>
        </w:rPr>
        <w:t>zimelidine</w:t>
      </w:r>
      <w:proofErr w:type="spellEnd"/>
      <w:r w:rsidRPr="00905AE8">
        <w:rPr>
          <w:rFonts w:asciiTheme="majorHAnsi" w:hAnsiTheme="majorHAnsi" w:cs="Courier New"/>
          <w:sz w:val="24"/>
          <w:szCs w:val="24"/>
        </w:rPr>
        <w:t>, and showed its selective effects on serotonin neurons in 1972 and its efficacy in treating depression shortly after.</w:t>
      </w:r>
      <w:r w:rsidRPr="00905AE8">
        <w:rPr>
          <w:rStyle w:val="EndnoteReference"/>
          <w:rFonts w:asciiTheme="majorHAnsi" w:hAnsiTheme="majorHAnsi" w:cs="Courier New"/>
          <w:sz w:val="24"/>
          <w:szCs w:val="24"/>
        </w:rPr>
        <w:endnoteReference w:id="21"/>
      </w:r>
      <w:r w:rsidRPr="00905AE8">
        <w:rPr>
          <w:rFonts w:asciiTheme="majorHAnsi" w:hAnsiTheme="majorHAnsi" w:cs="Courier New"/>
          <w:sz w:val="24"/>
          <w:szCs w:val="24"/>
        </w:rPr>
        <w:t xml:space="preserve"> In parallel, starting in the early 1970s, a research team at Eli Lilly designed and tested </w:t>
      </w:r>
      <w:proofErr w:type="spellStart"/>
      <w:r w:rsidRPr="00905AE8">
        <w:rPr>
          <w:rFonts w:asciiTheme="majorHAnsi" w:hAnsiTheme="majorHAnsi" w:cs="Courier New"/>
          <w:sz w:val="24"/>
          <w:szCs w:val="24"/>
        </w:rPr>
        <w:t>fluoxetine</w:t>
      </w:r>
      <w:proofErr w:type="spellEnd"/>
      <w:r w:rsidRPr="00905AE8">
        <w:rPr>
          <w:rFonts w:asciiTheme="majorHAnsi" w:hAnsiTheme="majorHAnsi" w:cs="Courier New"/>
          <w:sz w:val="24"/>
          <w:szCs w:val="24"/>
        </w:rPr>
        <w:t xml:space="preserve"> (Prozac), which was the first SSRI to be FDA-approved in 1987.</w:t>
      </w:r>
      <w:r w:rsidRPr="00905AE8">
        <w:rPr>
          <w:rStyle w:val="EndnoteReference"/>
          <w:rFonts w:asciiTheme="majorHAnsi" w:hAnsiTheme="majorHAnsi" w:cs="Courier New"/>
          <w:sz w:val="24"/>
          <w:szCs w:val="24"/>
        </w:rPr>
        <w:endnoteReference w:id="22"/>
      </w:r>
    </w:p>
    <w:p w:rsidR="00905AE8" w:rsidRPr="00905AE8" w:rsidRDefault="00905AE8" w:rsidP="00905AE8">
      <w:pPr>
        <w:spacing w:after="0" w:line="480" w:lineRule="auto"/>
        <w:ind w:left="720" w:right="360" w:firstLine="720"/>
        <w:rPr>
          <w:rFonts w:asciiTheme="majorHAnsi" w:hAnsiTheme="majorHAnsi" w:cs="Courier New"/>
          <w:sz w:val="24"/>
          <w:szCs w:val="24"/>
        </w:rPr>
      </w:pPr>
    </w:p>
    <w:p w:rsidR="00905AE8" w:rsidRPr="00905AE8" w:rsidRDefault="00905AE8" w:rsidP="00905AE8">
      <w:pPr>
        <w:spacing w:after="0" w:line="480" w:lineRule="auto"/>
        <w:ind w:left="720" w:right="360" w:firstLine="720"/>
        <w:rPr>
          <w:rFonts w:asciiTheme="majorHAnsi" w:hAnsiTheme="majorHAnsi" w:cs="Courier New"/>
          <w:sz w:val="24"/>
          <w:szCs w:val="24"/>
        </w:rPr>
      </w:pPr>
      <w:r w:rsidRPr="00905AE8">
        <w:rPr>
          <w:rFonts w:asciiTheme="majorHAnsi" w:hAnsiTheme="majorHAnsi" w:cs="Courier New"/>
          <w:sz w:val="24"/>
          <w:szCs w:val="24"/>
        </w:rPr>
        <w:t>The transformative medications in our sample were discovered at different institutions at different times during the 25-year study period, and represented a range of molecular structures. Yet we found three common themes that reveal drivers of successful drug innovation. First, many of the key insights for these transformative products began as publicly-funded basic research in university settings, and were then further developed through collaboration between public and private entities. Second, a substantial number rose to significance after being repurposed from targeting a different indication. Third, a high proportion was designed to treat rare diseases but nonetheless became transformative by opening up new therapeutic pathways or establishing new understanding of pathology.</w:t>
      </w:r>
    </w:p>
    <w:p w:rsidR="00905AE8" w:rsidRPr="00905AE8" w:rsidRDefault="00905AE8" w:rsidP="00905AE8">
      <w:pPr>
        <w:spacing w:after="0" w:line="480" w:lineRule="auto"/>
        <w:ind w:left="720" w:right="360" w:firstLine="720"/>
        <w:rPr>
          <w:rFonts w:asciiTheme="majorHAnsi" w:hAnsiTheme="majorHAnsi" w:cs="Courier New"/>
          <w:sz w:val="24"/>
          <w:szCs w:val="24"/>
        </w:rPr>
      </w:pPr>
      <w:r w:rsidRPr="00905AE8">
        <w:rPr>
          <w:rFonts w:asciiTheme="majorHAnsi" w:hAnsiTheme="majorHAnsi" w:cs="Courier New"/>
          <w:sz w:val="24"/>
          <w:szCs w:val="24"/>
        </w:rPr>
        <w:t xml:space="preserve">Our review of transformative medications revealed the crucial role of innovative individual scientists, usually based in academic medical settings but also in some cases based in industry laboratories. Despite the widespread perception that major drug discoveries come from particular manufacturers, our review indicates that for most transformative drugs, the story is much more complex.  These findings do not negate the often-vital role played by drug companies in the development of new drugs. In some instances, vital collaborations occurred between industry scientists and academic collaborators to move forward a seminal discovery </w:t>
      </w:r>
      <w:r w:rsidRPr="00905AE8">
        <w:rPr>
          <w:rFonts w:asciiTheme="majorHAnsi" w:hAnsiTheme="majorHAnsi" w:cs="Courier New"/>
          <w:sz w:val="24"/>
          <w:szCs w:val="24"/>
        </w:rPr>
        <w:lastRenderedPageBreak/>
        <w:t>into product development. In a few instances, the pivotal insights that led to the creation of a transformative product did indeed arise wholly within the research enterprise of a single company. But our findings do not support the concept of the pharmaceutical industry as the single most important source of transformative drug development.</w:t>
      </w:r>
    </w:p>
    <w:p w:rsidR="00905AE8" w:rsidRPr="00905AE8" w:rsidRDefault="00905AE8" w:rsidP="00905AE8">
      <w:pPr>
        <w:spacing w:after="0" w:line="480" w:lineRule="auto"/>
        <w:ind w:left="720" w:right="360" w:firstLine="720"/>
        <w:rPr>
          <w:rFonts w:asciiTheme="majorHAnsi" w:hAnsiTheme="majorHAnsi" w:cs="Courier New"/>
          <w:sz w:val="24"/>
          <w:szCs w:val="24"/>
        </w:rPr>
      </w:pPr>
      <w:r w:rsidRPr="00905AE8">
        <w:rPr>
          <w:rFonts w:asciiTheme="majorHAnsi" w:hAnsiTheme="majorHAnsi" w:cs="Courier New"/>
          <w:sz w:val="24"/>
          <w:szCs w:val="24"/>
        </w:rPr>
        <w:t>Correct attribution of source of the discovery of transformative drug products can have important effects on policymaking. The importance of academic centers in pharmaceutical development has been noted in other studies,</w:t>
      </w:r>
      <w:r w:rsidRPr="00905AE8">
        <w:rPr>
          <w:rStyle w:val="EndnoteReference"/>
          <w:rFonts w:asciiTheme="majorHAnsi" w:hAnsiTheme="majorHAnsi" w:cs="Courier New"/>
          <w:sz w:val="24"/>
          <w:szCs w:val="24"/>
        </w:rPr>
        <w:endnoteReference w:id="23"/>
      </w:r>
      <w:r w:rsidRPr="00905AE8">
        <w:rPr>
          <w:rFonts w:asciiTheme="majorHAnsi" w:hAnsiTheme="majorHAnsi" w:cs="Courier New"/>
          <w:sz w:val="24"/>
          <w:szCs w:val="24"/>
        </w:rPr>
        <w:t xml:space="preserve"> but is frequently challenged by those who argue that research within pharmaceutical companies is the main source of innovative drug products.</w:t>
      </w:r>
      <w:r w:rsidRPr="00905AE8">
        <w:rPr>
          <w:rStyle w:val="EndnoteReference"/>
          <w:rFonts w:asciiTheme="majorHAnsi" w:hAnsiTheme="majorHAnsi" w:cs="Courier New"/>
          <w:sz w:val="24"/>
          <w:szCs w:val="24"/>
        </w:rPr>
        <w:endnoteReference w:id="24"/>
      </w:r>
      <w:r w:rsidRPr="00905AE8">
        <w:rPr>
          <w:rFonts w:asciiTheme="majorHAnsi" w:hAnsiTheme="majorHAnsi" w:cs="Courier New"/>
          <w:sz w:val="24"/>
          <w:szCs w:val="24"/>
        </w:rPr>
        <w:t xml:space="preserve"> </w:t>
      </w:r>
      <w:r w:rsidRPr="00905AE8">
        <w:rPr>
          <w:rStyle w:val="EndnoteReference"/>
          <w:rFonts w:asciiTheme="majorHAnsi" w:hAnsiTheme="majorHAnsi" w:cs="Courier New"/>
          <w:sz w:val="24"/>
          <w:szCs w:val="24"/>
        </w:rPr>
        <w:endnoteReference w:id="25"/>
      </w:r>
      <w:r w:rsidRPr="00905AE8">
        <w:rPr>
          <w:rFonts w:asciiTheme="majorHAnsi" w:hAnsiTheme="majorHAnsi" w:cs="Courier New"/>
          <w:sz w:val="24"/>
          <w:szCs w:val="24"/>
        </w:rPr>
        <w:t xml:space="preserve"> </w:t>
      </w:r>
      <w:r w:rsidRPr="00905AE8">
        <w:rPr>
          <w:rStyle w:val="EndnoteReference"/>
          <w:rFonts w:asciiTheme="majorHAnsi" w:hAnsiTheme="majorHAnsi" w:cs="Courier New"/>
          <w:sz w:val="24"/>
          <w:szCs w:val="24"/>
        </w:rPr>
        <w:endnoteReference w:id="26"/>
      </w:r>
      <w:r w:rsidRPr="00905AE8">
        <w:rPr>
          <w:rFonts w:asciiTheme="majorHAnsi" w:hAnsiTheme="majorHAnsi" w:cs="Courier New"/>
          <w:sz w:val="24"/>
          <w:szCs w:val="24"/>
        </w:rPr>
        <w:t xml:space="preserve"> This claim can justify high prescription drug prices, especially in the US, that will support a continuing supply of innovative products. While companies clearly play a major role in funding and conducting the clinical trials necessary to gain approval, the fraction of pharmaceutical sales that are devoted to total research and development is well under 20%,</w:t>
      </w:r>
      <w:r w:rsidRPr="00905AE8">
        <w:rPr>
          <w:rStyle w:val="EndnoteReference"/>
          <w:rFonts w:asciiTheme="majorHAnsi" w:hAnsiTheme="majorHAnsi" w:cs="Courier New"/>
          <w:sz w:val="24"/>
          <w:szCs w:val="24"/>
        </w:rPr>
        <w:endnoteReference w:id="27"/>
      </w:r>
      <w:r w:rsidRPr="00905AE8">
        <w:rPr>
          <w:rFonts w:asciiTheme="majorHAnsi" w:hAnsiTheme="majorHAnsi" w:cs="Courier New"/>
          <w:sz w:val="24"/>
          <w:szCs w:val="24"/>
        </w:rPr>
        <w:t xml:space="preserve"> with the amount spent on basic research that often generates truly innovative new compounds estimated to be far less than that.</w:t>
      </w:r>
      <w:r w:rsidRPr="00905AE8">
        <w:rPr>
          <w:rStyle w:val="EndnoteReference"/>
          <w:rFonts w:asciiTheme="majorHAnsi" w:hAnsiTheme="majorHAnsi" w:cs="Courier New"/>
          <w:sz w:val="24"/>
          <w:szCs w:val="24"/>
        </w:rPr>
        <w:endnoteReference w:id="28"/>
      </w:r>
      <w:r w:rsidRPr="00905AE8">
        <w:rPr>
          <w:rFonts w:asciiTheme="majorHAnsi" w:hAnsiTheme="majorHAnsi" w:cs="Courier New"/>
          <w:sz w:val="24"/>
          <w:szCs w:val="24"/>
        </w:rPr>
        <w:t xml:space="preserve">  Thus, it is not surprising that the insights underlying to the creation and transformative effect of certain drugs, such as the concept that TNF blockers can curb the inflammatory response diseases or that blocking angiogenesis can kill tumors and treat macular degeneration, arose in academic or government-sponsored settings.  However, these concepts are not patentable, since ownership under patent law is generally reserved for products. The commercial development of products based on these insights, and the ownership of the resulting intellectual property, therefore often occurs within a pharmaceutical company, leading to subsequent misperception about the origins of these products.</w:t>
      </w:r>
    </w:p>
    <w:p w:rsidR="00905AE8" w:rsidRPr="00905AE8" w:rsidRDefault="00905AE8" w:rsidP="00905AE8">
      <w:pPr>
        <w:spacing w:after="0" w:line="480" w:lineRule="auto"/>
        <w:ind w:left="720" w:right="360" w:firstLine="720"/>
        <w:rPr>
          <w:rFonts w:asciiTheme="majorHAnsi" w:hAnsiTheme="majorHAnsi" w:cs="Courier New"/>
          <w:sz w:val="24"/>
          <w:szCs w:val="24"/>
        </w:rPr>
      </w:pPr>
      <w:r w:rsidRPr="00905AE8">
        <w:rPr>
          <w:rFonts w:asciiTheme="majorHAnsi" w:hAnsiTheme="majorHAnsi" w:cs="Courier New"/>
          <w:sz w:val="24"/>
          <w:szCs w:val="24"/>
        </w:rPr>
        <w:lastRenderedPageBreak/>
        <w:t xml:space="preserve">Proposals to promote drug innovation often focus on providing greater incentives for drug producers by extending patents or reducing regulatory barriers for approval, rather than greater support for research that is so often the source of innovative therapeutic ideas. By contrast, reductions in NIH funding and in industry support for its own laboratories in recent years have threatened the funding streams that we found actually did support most transformative drug innovation.  Venture capital funds supporting early-stage research are also limited because such work often does not yield immediately patentable products. Policies that support biomedical research, or those that foster idea development, such as open-source drug development, may be more powerful ways of producing more transformative drugs in the future. For example, the World Intellectual Property Organization </w:t>
      </w:r>
      <w:proofErr w:type="spellStart"/>
      <w:r w:rsidRPr="00905AE8">
        <w:rPr>
          <w:rFonts w:asciiTheme="majorHAnsi" w:hAnsiTheme="majorHAnsi" w:cs="Courier New"/>
          <w:sz w:val="24"/>
          <w:szCs w:val="24"/>
        </w:rPr>
        <w:t>Re:Search</w:t>
      </w:r>
      <w:proofErr w:type="spellEnd"/>
      <w:r w:rsidRPr="00905AE8">
        <w:rPr>
          <w:rFonts w:asciiTheme="majorHAnsi" w:hAnsiTheme="majorHAnsi" w:cs="Courier New"/>
          <w:sz w:val="24"/>
          <w:szCs w:val="24"/>
        </w:rPr>
        <w:t xml:space="preserve"> fosters shared intellectual property and resources among its public and private partners to target 19 neglected tropical diseases, malaria, and tuberculosis, to overcome the lack of economic incentive for companies to pursue these areas separately.</w:t>
      </w:r>
      <w:r w:rsidRPr="00905AE8">
        <w:rPr>
          <w:rStyle w:val="EndnoteReference"/>
          <w:rFonts w:asciiTheme="majorHAnsi" w:hAnsiTheme="majorHAnsi" w:cs="Courier New"/>
          <w:sz w:val="24"/>
          <w:szCs w:val="24"/>
        </w:rPr>
        <w:endnoteReference w:id="29"/>
      </w:r>
      <w:r w:rsidRPr="00905AE8">
        <w:rPr>
          <w:rFonts w:asciiTheme="majorHAnsi" w:hAnsiTheme="majorHAnsi" w:cs="Courier New"/>
          <w:sz w:val="24"/>
          <w:szCs w:val="24"/>
        </w:rPr>
        <w:t xml:space="preserve"> Other solutions that have been proposed include public-private partnerships, such as the NIH’s Accelerated Medicines Partnership, an effort to combine companies and academic partners in processing mountainous data on biomarker drug candidates.</w:t>
      </w:r>
      <w:r w:rsidRPr="00905AE8">
        <w:rPr>
          <w:rStyle w:val="EndnoteReference"/>
          <w:rFonts w:asciiTheme="majorHAnsi" w:hAnsiTheme="majorHAnsi" w:cs="Courier New"/>
          <w:sz w:val="24"/>
          <w:szCs w:val="24"/>
        </w:rPr>
        <w:endnoteReference w:id="30"/>
      </w:r>
      <w:r w:rsidRPr="00905AE8">
        <w:rPr>
          <w:rFonts w:asciiTheme="majorHAnsi" w:hAnsiTheme="majorHAnsi" w:cs="Courier New"/>
          <w:sz w:val="24"/>
          <w:szCs w:val="24"/>
        </w:rPr>
        <w:t xml:space="preserve">  </w:t>
      </w:r>
    </w:p>
    <w:p w:rsidR="0020268D" w:rsidRPr="00905AE8" w:rsidRDefault="008144A0" w:rsidP="00130030">
      <w:pPr>
        <w:spacing w:after="0"/>
        <w:ind w:left="720"/>
        <w:rPr>
          <w:rFonts w:asciiTheme="majorHAnsi" w:hAnsiTheme="majorHAnsi"/>
          <w:b/>
          <w:sz w:val="24"/>
          <w:szCs w:val="24"/>
        </w:rPr>
      </w:pPr>
      <w:r w:rsidRPr="00905AE8">
        <w:rPr>
          <w:rFonts w:asciiTheme="majorHAnsi" w:hAnsiTheme="majorHAnsi"/>
          <w:sz w:val="24"/>
          <w:szCs w:val="24"/>
          <w:lang w:val="nl-NL"/>
        </w:rPr>
        <w:br w:type="page"/>
      </w:r>
      <w:r w:rsidRPr="00905AE8">
        <w:rPr>
          <w:rFonts w:asciiTheme="majorHAnsi" w:hAnsiTheme="majorHAnsi"/>
          <w:b/>
          <w:sz w:val="24"/>
          <w:szCs w:val="24"/>
        </w:rPr>
        <w:lastRenderedPageBreak/>
        <w:t>References</w:t>
      </w:r>
    </w:p>
    <w:sectPr w:rsidR="0020268D" w:rsidRPr="00905AE8" w:rsidSect="005A399D">
      <w:headerReference w:type="default" r:id="rId8"/>
      <w:footerReference w:type="default" r:id="rId9"/>
      <w:headerReference w:type="first" r:id="rId10"/>
      <w:footerReference w:type="first" r:id="rId11"/>
      <w:endnotePr>
        <w:numFmt w:val="decimal"/>
      </w:endnotePr>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440" w:rsidRDefault="00415440" w:rsidP="00225F03">
      <w:pPr>
        <w:spacing w:after="0" w:line="240" w:lineRule="auto"/>
      </w:pPr>
    </w:p>
  </w:endnote>
  <w:endnote w:type="continuationSeparator" w:id="0">
    <w:p w:rsidR="00415440" w:rsidRDefault="00415440" w:rsidP="00225F03">
      <w:pPr>
        <w:spacing w:after="0" w:line="240" w:lineRule="auto"/>
      </w:pPr>
    </w:p>
  </w:endnote>
  <w:endnote w:id="1">
    <w:p w:rsidR="006F30E0" w:rsidRPr="006F30E0" w:rsidRDefault="006F30E0" w:rsidP="005F3965">
      <w:pPr>
        <w:spacing w:after="0"/>
        <w:ind w:left="1080" w:hanging="360"/>
        <w:rPr>
          <w:rFonts w:asciiTheme="majorHAnsi" w:hAnsiTheme="majorHAnsi" w:cs="Arial"/>
          <w:sz w:val="24"/>
          <w:szCs w:val="24"/>
        </w:rPr>
      </w:pPr>
      <w:r w:rsidRPr="006F30E0">
        <w:rPr>
          <w:rStyle w:val="EndnoteReference"/>
          <w:rFonts w:asciiTheme="majorHAnsi" w:hAnsiTheme="majorHAnsi"/>
          <w:sz w:val="24"/>
          <w:szCs w:val="24"/>
        </w:rPr>
        <w:endnoteRef/>
      </w:r>
      <w:r w:rsidRPr="006F30E0">
        <w:rPr>
          <w:rFonts w:asciiTheme="majorHAnsi" w:hAnsiTheme="majorHAnsi"/>
          <w:sz w:val="24"/>
          <w:szCs w:val="24"/>
        </w:rPr>
        <w:t xml:space="preserve"> </w:t>
      </w:r>
      <w:proofErr w:type="gramStart"/>
      <w:r w:rsidRPr="006F30E0">
        <w:rPr>
          <w:rFonts w:asciiTheme="majorHAnsi" w:hAnsiTheme="majorHAnsi"/>
          <w:sz w:val="24"/>
          <w:szCs w:val="24"/>
        </w:rPr>
        <w:t>Moses H and Martin JB.</w:t>
      </w:r>
      <w:proofErr w:type="gramEnd"/>
      <w:r w:rsidRPr="006F30E0">
        <w:rPr>
          <w:rFonts w:asciiTheme="majorHAnsi" w:hAnsiTheme="majorHAnsi"/>
          <w:sz w:val="24"/>
          <w:szCs w:val="24"/>
        </w:rPr>
        <w:t xml:space="preserve"> </w:t>
      </w:r>
      <w:r w:rsidRPr="006F30E0">
        <w:rPr>
          <w:rFonts w:asciiTheme="majorHAnsi" w:hAnsiTheme="majorHAnsi"/>
          <w:bCs/>
          <w:sz w:val="24"/>
          <w:szCs w:val="24"/>
        </w:rPr>
        <w:t xml:space="preserve">Academic relationships with industry: a new model for biomedical </w:t>
      </w:r>
      <w:r w:rsidRPr="006F30E0">
        <w:rPr>
          <w:rFonts w:asciiTheme="majorHAnsi" w:hAnsiTheme="majorHAnsi" w:cs="Arial"/>
          <w:bCs/>
          <w:sz w:val="24"/>
          <w:szCs w:val="24"/>
        </w:rPr>
        <w:t xml:space="preserve">research.  </w:t>
      </w:r>
      <w:r w:rsidRPr="006F30E0">
        <w:rPr>
          <w:rFonts w:asciiTheme="majorHAnsi" w:hAnsiTheme="majorHAnsi" w:cs="Arial"/>
          <w:iCs/>
          <w:sz w:val="24"/>
          <w:szCs w:val="24"/>
        </w:rPr>
        <w:t>JAMA</w:t>
      </w:r>
      <w:r w:rsidRPr="006F30E0">
        <w:rPr>
          <w:rFonts w:asciiTheme="majorHAnsi" w:hAnsiTheme="majorHAnsi" w:cs="Arial"/>
          <w:sz w:val="24"/>
          <w:szCs w:val="24"/>
        </w:rPr>
        <w:t> 2001</w:t>
      </w:r>
      <w:proofErr w:type="gramStart"/>
      <w:r w:rsidRPr="006F30E0">
        <w:rPr>
          <w:rFonts w:asciiTheme="majorHAnsi" w:hAnsiTheme="majorHAnsi" w:cs="Arial"/>
          <w:sz w:val="24"/>
          <w:szCs w:val="24"/>
        </w:rPr>
        <w:t>;285:933</w:t>
      </w:r>
      <w:proofErr w:type="gramEnd"/>
      <w:r w:rsidRPr="006F30E0">
        <w:rPr>
          <w:rFonts w:asciiTheme="majorHAnsi" w:hAnsiTheme="majorHAnsi" w:cs="Arial"/>
          <w:sz w:val="24"/>
          <w:szCs w:val="24"/>
        </w:rPr>
        <w:t xml:space="preserve">-935. </w:t>
      </w:r>
    </w:p>
  </w:endnote>
  <w:endnote w:id="2">
    <w:p w:rsidR="006F30E0" w:rsidRPr="006F30E0" w:rsidRDefault="006F30E0" w:rsidP="005F3965">
      <w:pPr>
        <w:pStyle w:val="title1"/>
        <w:spacing w:before="0" w:beforeAutospacing="0"/>
        <w:ind w:left="1080" w:hanging="360"/>
        <w:rPr>
          <w:rFonts w:asciiTheme="majorHAnsi" w:hAnsiTheme="majorHAnsi" w:cs="Arial"/>
          <w:sz w:val="24"/>
          <w:szCs w:val="24"/>
        </w:rPr>
      </w:pPr>
      <w:r w:rsidRPr="006F30E0">
        <w:rPr>
          <w:rStyle w:val="EndnoteReference"/>
          <w:rFonts w:asciiTheme="majorHAnsi" w:hAnsiTheme="majorHAnsi" w:cs="Arial"/>
          <w:sz w:val="24"/>
          <w:szCs w:val="24"/>
        </w:rPr>
        <w:endnoteRef/>
      </w:r>
      <w:r w:rsidRPr="006F30E0">
        <w:rPr>
          <w:rFonts w:asciiTheme="majorHAnsi" w:hAnsiTheme="majorHAnsi" w:cs="Arial"/>
          <w:sz w:val="24"/>
          <w:szCs w:val="24"/>
        </w:rPr>
        <w:t xml:space="preserve"> </w:t>
      </w:r>
      <w:proofErr w:type="gramStart"/>
      <w:r w:rsidRPr="006F30E0">
        <w:rPr>
          <w:rFonts w:asciiTheme="majorHAnsi" w:hAnsiTheme="majorHAnsi" w:cs="Arial"/>
          <w:sz w:val="24"/>
          <w:szCs w:val="24"/>
        </w:rPr>
        <w:t xml:space="preserve">Sung NS, Crowley WF Jr, </w:t>
      </w:r>
      <w:proofErr w:type="spellStart"/>
      <w:r w:rsidRPr="006F30E0">
        <w:rPr>
          <w:rFonts w:asciiTheme="majorHAnsi" w:hAnsiTheme="majorHAnsi" w:cs="Arial"/>
          <w:sz w:val="24"/>
          <w:szCs w:val="24"/>
        </w:rPr>
        <w:t>Genel</w:t>
      </w:r>
      <w:proofErr w:type="spellEnd"/>
      <w:r w:rsidRPr="006F30E0">
        <w:rPr>
          <w:rFonts w:asciiTheme="majorHAnsi" w:hAnsiTheme="majorHAnsi" w:cs="Arial"/>
          <w:sz w:val="24"/>
          <w:szCs w:val="24"/>
        </w:rPr>
        <w:t xml:space="preserve"> M, et al.</w:t>
      </w:r>
      <w:proofErr w:type="gramEnd"/>
      <w:r w:rsidRPr="006F30E0">
        <w:rPr>
          <w:rFonts w:asciiTheme="majorHAnsi" w:hAnsiTheme="majorHAnsi" w:cs="Arial"/>
          <w:sz w:val="24"/>
          <w:szCs w:val="24"/>
        </w:rPr>
        <w:t xml:space="preserve">  </w:t>
      </w:r>
      <w:proofErr w:type="gramStart"/>
      <w:r w:rsidRPr="006F30E0">
        <w:rPr>
          <w:rFonts w:asciiTheme="majorHAnsi" w:hAnsiTheme="majorHAnsi" w:cs="Arial"/>
          <w:sz w:val="24"/>
          <w:szCs w:val="24"/>
        </w:rPr>
        <w:t>Central challenges facing the national clinical research enterprise.</w:t>
      </w:r>
      <w:proofErr w:type="gramEnd"/>
      <w:r w:rsidRPr="006F30E0">
        <w:rPr>
          <w:rFonts w:asciiTheme="majorHAnsi" w:hAnsiTheme="majorHAnsi" w:cs="Arial"/>
          <w:sz w:val="24"/>
          <w:szCs w:val="24"/>
        </w:rPr>
        <w:t xml:space="preserve">  </w:t>
      </w:r>
      <w:r w:rsidRPr="006F30E0">
        <w:rPr>
          <w:rStyle w:val="journalname"/>
          <w:rFonts w:asciiTheme="majorHAnsi" w:hAnsiTheme="majorHAnsi" w:cs="Arial"/>
          <w:sz w:val="24"/>
          <w:szCs w:val="24"/>
        </w:rPr>
        <w:t>JAMA</w:t>
      </w:r>
      <w:r w:rsidRPr="006F30E0">
        <w:rPr>
          <w:rFonts w:asciiTheme="majorHAnsi" w:hAnsiTheme="majorHAnsi" w:cs="Arial"/>
          <w:sz w:val="24"/>
          <w:szCs w:val="24"/>
        </w:rPr>
        <w:t xml:space="preserve"> 2003</w:t>
      </w:r>
      <w:proofErr w:type="gramStart"/>
      <w:r w:rsidRPr="006F30E0">
        <w:rPr>
          <w:rFonts w:asciiTheme="majorHAnsi" w:hAnsiTheme="majorHAnsi" w:cs="Arial"/>
          <w:sz w:val="24"/>
          <w:szCs w:val="24"/>
        </w:rPr>
        <w:t>;289:1278</w:t>
      </w:r>
      <w:proofErr w:type="gramEnd"/>
      <w:r w:rsidRPr="006F30E0">
        <w:rPr>
          <w:rFonts w:asciiTheme="majorHAnsi" w:hAnsiTheme="majorHAnsi" w:cs="Arial"/>
          <w:sz w:val="24"/>
          <w:szCs w:val="24"/>
        </w:rPr>
        <w:t>-1287.</w:t>
      </w:r>
    </w:p>
  </w:endnote>
  <w:endnote w:id="3">
    <w:p w:rsidR="006F30E0" w:rsidRPr="006F30E0" w:rsidRDefault="006F30E0" w:rsidP="005F3965">
      <w:pPr>
        <w:pStyle w:val="authors1"/>
        <w:spacing w:before="0"/>
        <w:ind w:left="1080" w:hanging="360"/>
        <w:rPr>
          <w:rFonts w:asciiTheme="majorHAnsi" w:hAnsiTheme="majorHAnsi" w:cs="Arial"/>
          <w:sz w:val="24"/>
          <w:szCs w:val="24"/>
        </w:rPr>
      </w:pPr>
      <w:r w:rsidRPr="006F30E0">
        <w:rPr>
          <w:rStyle w:val="EndnoteReference"/>
          <w:rFonts w:asciiTheme="majorHAnsi" w:hAnsiTheme="majorHAnsi" w:cs="Arial"/>
          <w:sz w:val="24"/>
          <w:szCs w:val="24"/>
        </w:rPr>
        <w:endnoteRef/>
      </w:r>
      <w:r w:rsidRPr="006F30E0">
        <w:rPr>
          <w:rFonts w:asciiTheme="majorHAnsi" w:hAnsiTheme="majorHAnsi" w:cs="Arial"/>
          <w:sz w:val="24"/>
          <w:szCs w:val="24"/>
        </w:rPr>
        <w:t xml:space="preserve"> Burns LR, Housman MG, Robinson CA.  Market entry and exit by biotech and device companies funded by venture capital.  </w:t>
      </w:r>
      <w:r w:rsidRPr="006F30E0">
        <w:rPr>
          <w:rStyle w:val="journalname"/>
          <w:rFonts w:asciiTheme="majorHAnsi" w:hAnsiTheme="majorHAnsi" w:cs="Arial"/>
          <w:sz w:val="24"/>
          <w:szCs w:val="24"/>
        </w:rPr>
        <w:t xml:space="preserve">Health </w:t>
      </w:r>
      <w:proofErr w:type="spellStart"/>
      <w:r w:rsidRPr="006F30E0">
        <w:rPr>
          <w:rStyle w:val="journalname"/>
          <w:rFonts w:asciiTheme="majorHAnsi" w:hAnsiTheme="majorHAnsi" w:cs="Arial"/>
          <w:sz w:val="24"/>
          <w:szCs w:val="24"/>
        </w:rPr>
        <w:t>Aff</w:t>
      </w:r>
      <w:proofErr w:type="spellEnd"/>
      <w:r w:rsidRPr="006F30E0">
        <w:rPr>
          <w:rStyle w:val="journalname"/>
          <w:rFonts w:asciiTheme="majorHAnsi" w:hAnsiTheme="majorHAnsi" w:cs="Arial"/>
          <w:sz w:val="24"/>
          <w:szCs w:val="24"/>
        </w:rPr>
        <w:t xml:space="preserve"> </w:t>
      </w:r>
      <w:r w:rsidRPr="006F30E0">
        <w:rPr>
          <w:rFonts w:asciiTheme="majorHAnsi" w:hAnsiTheme="majorHAnsi" w:cs="Arial"/>
          <w:sz w:val="24"/>
          <w:szCs w:val="24"/>
        </w:rPr>
        <w:t>2009</w:t>
      </w:r>
      <w:proofErr w:type="gramStart"/>
      <w:r w:rsidRPr="006F30E0">
        <w:rPr>
          <w:rFonts w:asciiTheme="majorHAnsi" w:hAnsiTheme="majorHAnsi" w:cs="Arial"/>
          <w:sz w:val="24"/>
          <w:szCs w:val="24"/>
        </w:rPr>
        <w:t>;28:w76</w:t>
      </w:r>
      <w:proofErr w:type="gramEnd"/>
      <w:r w:rsidRPr="006F30E0">
        <w:rPr>
          <w:rFonts w:asciiTheme="majorHAnsi" w:hAnsiTheme="majorHAnsi" w:cs="Arial"/>
          <w:sz w:val="24"/>
          <w:szCs w:val="24"/>
        </w:rPr>
        <w:t>-86.</w:t>
      </w:r>
    </w:p>
  </w:endnote>
  <w:endnote w:id="4">
    <w:p w:rsidR="006F30E0" w:rsidRPr="006F30E0" w:rsidRDefault="006F30E0" w:rsidP="005F3965">
      <w:pPr>
        <w:pStyle w:val="EndnoteText"/>
        <w:ind w:left="1080" w:hanging="360"/>
        <w:rPr>
          <w:rFonts w:asciiTheme="majorHAnsi" w:hAnsiTheme="majorHAnsi" w:cs="Arial"/>
          <w:sz w:val="24"/>
          <w:szCs w:val="24"/>
        </w:rPr>
      </w:pPr>
      <w:r w:rsidRPr="006F30E0">
        <w:rPr>
          <w:rStyle w:val="EndnoteReference"/>
          <w:rFonts w:asciiTheme="majorHAnsi" w:hAnsiTheme="majorHAnsi" w:cs="Arial"/>
          <w:sz w:val="24"/>
          <w:szCs w:val="24"/>
        </w:rPr>
        <w:endnoteRef/>
      </w:r>
      <w:r w:rsidRPr="006F30E0">
        <w:rPr>
          <w:rFonts w:asciiTheme="majorHAnsi" w:hAnsiTheme="majorHAnsi" w:cs="Arial"/>
          <w:sz w:val="24"/>
          <w:szCs w:val="24"/>
        </w:rPr>
        <w:t xml:space="preserve"> </w:t>
      </w:r>
      <w:proofErr w:type="spellStart"/>
      <w:r w:rsidRPr="006F30E0">
        <w:rPr>
          <w:rFonts w:asciiTheme="majorHAnsi" w:hAnsiTheme="majorHAnsi" w:cs="Arial"/>
          <w:sz w:val="24"/>
          <w:szCs w:val="24"/>
        </w:rPr>
        <w:t>Loscalzo</w:t>
      </w:r>
      <w:proofErr w:type="spellEnd"/>
      <w:r w:rsidRPr="006F30E0">
        <w:rPr>
          <w:rFonts w:asciiTheme="majorHAnsi" w:hAnsiTheme="majorHAnsi" w:cs="Arial"/>
          <w:sz w:val="24"/>
          <w:szCs w:val="24"/>
        </w:rPr>
        <w:t xml:space="preserve"> J. </w:t>
      </w:r>
      <w:proofErr w:type="gramStart"/>
      <w:r w:rsidRPr="006F30E0">
        <w:rPr>
          <w:rFonts w:asciiTheme="majorHAnsi" w:hAnsiTheme="majorHAnsi" w:cs="Arial"/>
          <w:sz w:val="24"/>
          <w:szCs w:val="24"/>
        </w:rPr>
        <w:t>The NIH budget and the future of biomedical research.</w:t>
      </w:r>
      <w:proofErr w:type="gramEnd"/>
      <w:r w:rsidRPr="006F30E0">
        <w:rPr>
          <w:rFonts w:asciiTheme="majorHAnsi" w:hAnsiTheme="majorHAnsi" w:cs="Arial"/>
          <w:sz w:val="24"/>
          <w:szCs w:val="24"/>
        </w:rPr>
        <w:t xml:space="preserve"> NEJM 2006:</w:t>
      </w:r>
      <w:r w:rsidRPr="006F30E0">
        <w:rPr>
          <w:rFonts w:asciiTheme="majorHAnsi" w:hAnsiTheme="majorHAnsi" w:cs="Arial"/>
          <w:bCs/>
          <w:sz w:val="24"/>
          <w:szCs w:val="24"/>
        </w:rPr>
        <w:t>354:1665-7.</w:t>
      </w:r>
    </w:p>
  </w:endnote>
  <w:endnote w:id="5">
    <w:p w:rsidR="006F30E0" w:rsidRPr="006F30E0" w:rsidRDefault="006F30E0" w:rsidP="005F3965">
      <w:pPr>
        <w:pStyle w:val="title1"/>
        <w:spacing w:before="0" w:beforeAutospacing="0"/>
        <w:ind w:left="1080" w:hanging="360"/>
        <w:rPr>
          <w:rFonts w:asciiTheme="majorHAnsi" w:hAnsiTheme="majorHAnsi" w:cs="Arial"/>
          <w:sz w:val="24"/>
          <w:szCs w:val="24"/>
        </w:rPr>
      </w:pPr>
      <w:r w:rsidRPr="006F30E0">
        <w:rPr>
          <w:rStyle w:val="EndnoteReference"/>
          <w:rFonts w:asciiTheme="majorHAnsi" w:hAnsiTheme="majorHAnsi" w:cs="Arial"/>
          <w:sz w:val="24"/>
          <w:szCs w:val="24"/>
        </w:rPr>
        <w:endnoteRef/>
      </w:r>
      <w:r w:rsidRPr="006F30E0">
        <w:rPr>
          <w:rFonts w:asciiTheme="majorHAnsi" w:hAnsiTheme="majorHAnsi" w:cs="Arial"/>
          <w:sz w:val="24"/>
          <w:szCs w:val="24"/>
        </w:rPr>
        <w:t xml:space="preserve"> Moses H, Dorsey ER, Matheson DH, </w:t>
      </w:r>
      <w:proofErr w:type="spellStart"/>
      <w:r w:rsidRPr="006F30E0">
        <w:rPr>
          <w:rFonts w:asciiTheme="majorHAnsi" w:hAnsiTheme="majorHAnsi" w:cs="Arial"/>
          <w:sz w:val="24"/>
          <w:szCs w:val="24"/>
        </w:rPr>
        <w:t>Thier</w:t>
      </w:r>
      <w:proofErr w:type="spellEnd"/>
      <w:r w:rsidRPr="006F30E0">
        <w:rPr>
          <w:rFonts w:asciiTheme="majorHAnsi" w:hAnsiTheme="majorHAnsi" w:cs="Arial"/>
          <w:sz w:val="24"/>
          <w:szCs w:val="24"/>
        </w:rPr>
        <w:t xml:space="preserve"> SO.  </w:t>
      </w:r>
      <w:proofErr w:type="gramStart"/>
      <w:r w:rsidRPr="006F30E0">
        <w:rPr>
          <w:rFonts w:asciiTheme="majorHAnsi" w:hAnsiTheme="majorHAnsi" w:cs="Arial"/>
          <w:sz w:val="24"/>
          <w:szCs w:val="24"/>
        </w:rPr>
        <w:t>Financial anatomy of biomedical research.</w:t>
      </w:r>
      <w:proofErr w:type="gramEnd"/>
      <w:r w:rsidRPr="006F30E0">
        <w:rPr>
          <w:rFonts w:asciiTheme="majorHAnsi" w:hAnsiTheme="majorHAnsi" w:cs="Arial"/>
          <w:sz w:val="24"/>
          <w:szCs w:val="24"/>
        </w:rPr>
        <w:t xml:space="preserve">  </w:t>
      </w:r>
      <w:r w:rsidRPr="006F30E0">
        <w:rPr>
          <w:rStyle w:val="journalname"/>
          <w:rFonts w:asciiTheme="majorHAnsi" w:hAnsiTheme="majorHAnsi" w:cs="Arial"/>
          <w:sz w:val="24"/>
          <w:szCs w:val="24"/>
        </w:rPr>
        <w:t>JAMA</w:t>
      </w:r>
      <w:r w:rsidRPr="006F30E0">
        <w:rPr>
          <w:rFonts w:asciiTheme="majorHAnsi" w:hAnsiTheme="majorHAnsi" w:cs="Arial"/>
          <w:sz w:val="24"/>
          <w:szCs w:val="24"/>
        </w:rPr>
        <w:t xml:space="preserve"> 2005</w:t>
      </w:r>
      <w:proofErr w:type="gramStart"/>
      <w:r w:rsidRPr="006F30E0">
        <w:rPr>
          <w:rFonts w:asciiTheme="majorHAnsi" w:hAnsiTheme="majorHAnsi" w:cs="Arial"/>
          <w:sz w:val="24"/>
          <w:szCs w:val="24"/>
        </w:rPr>
        <w:t>;294:1333</w:t>
      </w:r>
      <w:proofErr w:type="gramEnd"/>
      <w:r w:rsidRPr="006F30E0">
        <w:rPr>
          <w:rFonts w:asciiTheme="majorHAnsi" w:hAnsiTheme="majorHAnsi" w:cs="Arial"/>
          <w:sz w:val="24"/>
          <w:szCs w:val="24"/>
        </w:rPr>
        <w:t>-1342.</w:t>
      </w:r>
    </w:p>
  </w:endnote>
  <w:endnote w:id="6">
    <w:p w:rsidR="006F30E0" w:rsidRPr="006F30E0" w:rsidRDefault="006F30E0" w:rsidP="005F3965">
      <w:pPr>
        <w:pStyle w:val="EndnoteText"/>
        <w:ind w:left="1080" w:hanging="360"/>
        <w:rPr>
          <w:rFonts w:asciiTheme="majorHAnsi" w:hAnsiTheme="majorHAnsi" w:cs="Arial"/>
          <w:sz w:val="24"/>
          <w:szCs w:val="24"/>
        </w:rPr>
      </w:pPr>
      <w:r w:rsidRPr="006F30E0">
        <w:rPr>
          <w:rStyle w:val="EndnoteReference"/>
          <w:rFonts w:asciiTheme="majorHAnsi" w:hAnsiTheme="majorHAnsi" w:cs="Arial"/>
          <w:sz w:val="24"/>
          <w:szCs w:val="24"/>
        </w:rPr>
        <w:endnoteRef/>
      </w:r>
      <w:r w:rsidRPr="006F30E0">
        <w:rPr>
          <w:rFonts w:asciiTheme="majorHAnsi" w:hAnsiTheme="majorHAnsi" w:cs="Arial"/>
          <w:sz w:val="24"/>
          <w:szCs w:val="24"/>
        </w:rPr>
        <w:t xml:space="preserve"> </w:t>
      </w:r>
      <w:proofErr w:type="spellStart"/>
      <w:proofErr w:type="gramStart"/>
      <w:r w:rsidRPr="006F30E0">
        <w:rPr>
          <w:rFonts w:asciiTheme="majorHAnsi" w:hAnsiTheme="majorHAnsi" w:cs="Arial"/>
          <w:sz w:val="24"/>
          <w:szCs w:val="24"/>
        </w:rPr>
        <w:t>Holmer</w:t>
      </w:r>
      <w:proofErr w:type="spellEnd"/>
      <w:r w:rsidRPr="006F30E0">
        <w:rPr>
          <w:rFonts w:asciiTheme="majorHAnsi" w:hAnsiTheme="majorHAnsi" w:cs="Arial"/>
          <w:sz w:val="24"/>
          <w:szCs w:val="24"/>
        </w:rPr>
        <w:t xml:space="preserve"> AF.</w:t>
      </w:r>
      <w:proofErr w:type="gramEnd"/>
      <w:r w:rsidRPr="006F30E0">
        <w:rPr>
          <w:rFonts w:asciiTheme="majorHAnsi" w:hAnsiTheme="majorHAnsi" w:cs="Arial"/>
          <w:sz w:val="24"/>
          <w:szCs w:val="24"/>
        </w:rPr>
        <w:t xml:space="preserve">  </w:t>
      </w:r>
      <w:proofErr w:type="gramStart"/>
      <w:r w:rsidRPr="006F30E0">
        <w:rPr>
          <w:rFonts w:asciiTheme="majorHAnsi" w:hAnsiTheme="majorHAnsi" w:cs="Arial"/>
          <w:sz w:val="24"/>
          <w:szCs w:val="24"/>
        </w:rPr>
        <w:t xml:space="preserve">Testimony by President and CEO of </w:t>
      </w:r>
      <w:proofErr w:type="spellStart"/>
      <w:r w:rsidRPr="006F30E0">
        <w:rPr>
          <w:rFonts w:asciiTheme="majorHAnsi" w:hAnsiTheme="majorHAnsi" w:cs="Arial"/>
          <w:sz w:val="24"/>
          <w:szCs w:val="24"/>
        </w:rPr>
        <w:t>PhRMA</w:t>
      </w:r>
      <w:proofErr w:type="spellEnd"/>
      <w:r w:rsidRPr="006F30E0">
        <w:rPr>
          <w:rFonts w:asciiTheme="majorHAnsi" w:hAnsiTheme="majorHAnsi" w:cs="Arial"/>
          <w:sz w:val="24"/>
          <w:szCs w:val="24"/>
        </w:rPr>
        <w:t xml:space="preserve"> on “Drug Safety and Pricing” before the Senate Committee on Health, Education, Labor, and Pensions.</w:t>
      </w:r>
      <w:proofErr w:type="gramEnd"/>
      <w:r w:rsidRPr="006F30E0">
        <w:rPr>
          <w:rFonts w:asciiTheme="majorHAnsi" w:hAnsiTheme="majorHAnsi" w:cs="Arial"/>
          <w:sz w:val="24"/>
          <w:szCs w:val="24"/>
        </w:rPr>
        <w:t xml:space="preserve">  13 June 2000.</w:t>
      </w:r>
    </w:p>
  </w:endnote>
  <w:endnote w:id="7">
    <w:p w:rsidR="006F30E0" w:rsidRPr="006F30E0" w:rsidRDefault="006F30E0" w:rsidP="005F3965">
      <w:pPr>
        <w:pStyle w:val="EndnoteText"/>
        <w:ind w:left="1080" w:hanging="360"/>
        <w:rPr>
          <w:rFonts w:asciiTheme="majorHAnsi" w:hAnsiTheme="majorHAnsi" w:cs="Arial"/>
          <w:sz w:val="24"/>
          <w:szCs w:val="24"/>
        </w:rPr>
      </w:pPr>
      <w:r w:rsidRPr="006F30E0">
        <w:rPr>
          <w:rStyle w:val="EndnoteReference"/>
          <w:rFonts w:asciiTheme="majorHAnsi" w:hAnsiTheme="majorHAnsi" w:cs="Arial"/>
          <w:sz w:val="24"/>
          <w:szCs w:val="24"/>
        </w:rPr>
        <w:endnoteRef/>
      </w:r>
      <w:r w:rsidRPr="006F30E0">
        <w:rPr>
          <w:rFonts w:asciiTheme="majorHAnsi" w:hAnsiTheme="majorHAnsi" w:cs="Arial"/>
          <w:sz w:val="24"/>
          <w:szCs w:val="24"/>
        </w:rPr>
        <w:t xml:space="preserve"> </w:t>
      </w:r>
      <w:proofErr w:type="spellStart"/>
      <w:proofErr w:type="gramStart"/>
      <w:r w:rsidRPr="006F30E0">
        <w:rPr>
          <w:rFonts w:asciiTheme="majorHAnsi" w:hAnsiTheme="majorHAnsi" w:cs="Arial"/>
          <w:sz w:val="24"/>
          <w:szCs w:val="24"/>
        </w:rPr>
        <w:t>PhRMA</w:t>
      </w:r>
      <w:proofErr w:type="spellEnd"/>
      <w:r w:rsidRPr="006F30E0">
        <w:rPr>
          <w:rFonts w:asciiTheme="majorHAnsi" w:hAnsiTheme="majorHAnsi" w:cs="Arial"/>
          <w:sz w:val="24"/>
          <w:szCs w:val="24"/>
        </w:rPr>
        <w:t>.</w:t>
      </w:r>
      <w:proofErr w:type="gramEnd"/>
      <w:r w:rsidRPr="006F30E0">
        <w:rPr>
          <w:rFonts w:asciiTheme="majorHAnsi" w:hAnsiTheme="majorHAnsi" w:cs="Arial"/>
          <w:sz w:val="24"/>
          <w:szCs w:val="24"/>
        </w:rPr>
        <w:t xml:space="preserve">  </w:t>
      </w:r>
      <w:proofErr w:type="gramStart"/>
      <w:r w:rsidRPr="006F30E0">
        <w:rPr>
          <w:rFonts w:asciiTheme="majorHAnsi" w:hAnsiTheme="majorHAnsi" w:cs="Arial"/>
          <w:sz w:val="24"/>
          <w:szCs w:val="24"/>
        </w:rPr>
        <w:t>Foreign government pharmaceutical price and access controls.</w:t>
      </w:r>
      <w:proofErr w:type="gramEnd"/>
      <w:r w:rsidRPr="006F30E0">
        <w:rPr>
          <w:rFonts w:asciiTheme="majorHAnsi" w:hAnsiTheme="majorHAnsi" w:cs="Arial"/>
          <w:sz w:val="24"/>
          <w:szCs w:val="24"/>
        </w:rPr>
        <w:t xml:space="preserve">  1 July 2004.  </w:t>
      </w:r>
      <w:proofErr w:type="gramStart"/>
      <w:r w:rsidRPr="006F30E0">
        <w:rPr>
          <w:rFonts w:asciiTheme="majorHAnsi" w:hAnsiTheme="majorHAnsi" w:cs="Arial"/>
          <w:sz w:val="24"/>
          <w:szCs w:val="24"/>
        </w:rPr>
        <w:t>Available at http://www.ita.doc.gov/td/health/phRMA/phRMA%20Response.pdf.</w:t>
      </w:r>
      <w:proofErr w:type="gramEnd"/>
    </w:p>
  </w:endnote>
  <w:endnote w:id="8">
    <w:p w:rsidR="006F30E0" w:rsidRPr="006F30E0" w:rsidRDefault="006F30E0" w:rsidP="005F3965">
      <w:pPr>
        <w:pStyle w:val="EndnoteText"/>
        <w:ind w:left="1080" w:hanging="360"/>
        <w:rPr>
          <w:rFonts w:asciiTheme="majorHAnsi" w:hAnsiTheme="majorHAnsi"/>
          <w:sz w:val="24"/>
          <w:szCs w:val="24"/>
        </w:rPr>
      </w:pPr>
      <w:r w:rsidRPr="006F30E0">
        <w:rPr>
          <w:rStyle w:val="EndnoteReference"/>
          <w:rFonts w:asciiTheme="majorHAnsi" w:hAnsiTheme="majorHAnsi"/>
          <w:sz w:val="24"/>
          <w:szCs w:val="24"/>
        </w:rPr>
        <w:endnoteRef/>
      </w:r>
      <w:r w:rsidRPr="006F30E0">
        <w:rPr>
          <w:rFonts w:asciiTheme="majorHAnsi" w:hAnsiTheme="majorHAnsi"/>
          <w:sz w:val="24"/>
          <w:szCs w:val="24"/>
        </w:rPr>
        <w:t xml:space="preserve"> </w:t>
      </w:r>
      <w:proofErr w:type="spellStart"/>
      <w:r w:rsidRPr="006F30E0">
        <w:rPr>
          <w:rFonts w:asciiTheme="majorHAnsi" w:hAnsiTheme="majorHAnsi"/>
          <w:sz w:val="24"/>
          <w:szCs w:val="24"/>
        </w:rPr>
        <w:t>LaMattina</w:t>
      </w:r>
      <w:proofErr w:type="spellEnd"/>
      <w:r w:rsidRPr="006F30E0">
        <w:rPr>
          <w:rFonts w:asciiTheme="majorHAnsi" w:hAnsiTheme="majorHAnsi"/>
          <w:sz w:val="24"/>
          <w:szCs w:val="24"/>
        </w:rPr>
        <w:t xml:space="preserve"> JL. Drug truths: dispelling the myths about </w:t>
      </w:r>
      <w:proofErr w:type="spellStart"/>
      <w:r w:rsidRPr="006F30E0">
        <w:rPr>
          <w:rFonts w:asciiTheme="majorHAnsi" w:hAnsiTheme="majorHAnsi"/>
          <w:sz w:val="24"/>
          <w:szCs w:val="24"/>
        </w:rPr>
        <w:t>pharma</w:t>
      </w:r>
      <w:proofErr w:type="spellEnd"/>
      <w:r w:rsidRPr="006F30E0">
        <w:rPr>
          <w:rFonts w:asciiTheme="majorHAnsi" w:hAnsiTheme="majorHAnsi"/>
          <w:sz w:val="24"/>
          <w:szCs w:val="24"/>
        </w:rPr>
        <w:t xml:space="preserve"> R&amp;D. </w:t>
      </w:r>
      <w:r w:rsidRPr="006F30E0">
        <w:rPr>
          <w:rFonts w:asciiTheme="majorHAnsi" w:hAnsiTheme="majorHAnsi" w:cs="Arial"/>
          <w:sz w:val="24"/>
          <w:szCs w:val="24"/>
        </w:rPr>
        <w:t>Hoboken</w:t>
      </w:r>
      <w:r w:rsidRPr="006F30E0">
        <w:rPr>
          <w:rFonts w:asciiTheme="majorHAnsi" w:hAnsiTheme="majorHAnsi"/>
          <w:sz w:val="24"/>
          <w:szCs w:val="24"/>
        </w:rPr>
        <w:t>: Wiley, 2008.</w:t>
      </w:r>
    </w:p>
  </w:endnote>
  <w:endnote w:id="9">
    <w:p w:rsidR="006F30E0" w:rsidRPr="006F30E0" w:rsidRDefault="006F30E0" w:rsidP="005F3965">
      <w:pPr>
        <w:pStyle w:val="EndnoteText"/>
        <w:ind w:left="1080" w:hanging="360"/>
        <w:rPr>
          <w:rFonts w:asciiTheme="majorHAnsi" w:hAnsiTheme="majorHAnsi" w:cs="Arial"/>
          <w:sz w:val="24"/>
          <w:szCs w:val="24"/>
        </w:rPr>
      </w:pPr>
      <w:r w:rsidRPr="006F30E0">
        <w:rPr>
          <w:rStyle w:val="EndnoteReference"/>
          <w:rFonts w:asciiTheme="majorHAnsi" w:hAnsiTheme="majorHAnsi" w:cs="Arial"/>
          <w:sz w:val="24"/>
          <w:szCs w:val="24"/>
        </w:rPr>
        <w:endnoteRef/>
      </w:r>
      <w:r w:rsidRPr="006F30E0">
        <w:rPr>
          <w:rFonts w:asciiTheme="majorHAnsi" w:hAnsiTheme="majorHAnsi" w:cs="Arial"/>
          <w:sz w:val="24"/>
          <w:szCs w:val="24"/>
        </w:rPr>
        <w:t xml:space="preserve"> </w:t>
      </w:r>
      <w:proofErr w:type="gramStart"/>
      <w:r w:rsidRPr="006F30E0">
        <w:rPr>
          <w:rFonts w:asciiTheme="majorHAnsi" w:hAnsiTheme="majorHAnsi" w:cs="Arial"/>
          <w:bCs/>
          <w:iCs/>
          <w:sz w:val="24"/>
          <w:szCs w:val="24"/>
        </w:rPr>
        <w:t>Kesselheim AS and Avorn J.</w:t>
      </w:r>
      <w:proofErr w:type="gramEnd"/>
      <w:r w:rsidRPr="006F30E0">
        <w:rPr>
          <w:rFonts w:asciiTheme="majorHAnsi" w:hAnsiTheme="majorHAnsi" w:cs="Arial"/>
          <w:bCs/>
          <w:iCs/>
          <w:sz w:val="24"/>
          <w:szCs w:val="24"/>
        </w:rPr>
        <w:t xml:space="preserve">  </w:t>
      </w:r>
      <w:proofErr w:type="gramStart"/>
      <w:r w:rsidRPr="006F30E0">
        <w:rPr>
          <w:rFonts w:asciiTheme="majorHAnsi" w:hAnsiTheme="majorHAnsi" w:cs="Arial"/>
          <w:sz w:val="24"/>
          <w:szCs w:val="24"/>
        </w:rPr>
        <w:t>Using patent data to assess the value of pharmaceutical innovation</w:t>
      </w:r>
      <w:r w:rsidRPr="006F30E0">
        <w:rPr>
          <w:rFonts w:asciiTheme="majorHAnsi" w:hAnsiTheme="majorHAnsi" w:cs="Arial"/>
          <w:bCs/>
          <w:iCs/>
          <w:sz w:val="24"/>
          <w:szCs w:val="24"/>
        </w:rPr>
        <w:t>.</w:t>
      </w:r>
      <w:proofErr w:type="gramEnd"/>
      <w:r w:rsidRPr="006F30E0">
        <w:rPr>
          <w:rFonts w:asciiTheme="majorHAnsi" w:hAnsiTheme="majorHAnsi" w:cs="Arial"/>
          <w:bCs/>
          <w:iCs/>
          <w:sz w:val="24"/>
          <w:szCs w:val="24"/>
        </w:rPr>
        <w:t xml:space="preserve">  J Law Med Ethics 2009</w:t>
      </w:r>
      <w:proofErr w:type="gramStart"/>
      <w:r w:rsidRPr="006F30E0">
        <w:rPr>
          <w:rFonts w:asciiTheme="majorHAnsi" w:hAnsiTheme="majorHAnsi" w:cs="Arial"/>
          <w:bCs/>
          <w:iCs/>
          <w:sz w:val="24"/>
          <w:szCs w:val="24"/>
        </w:rPr>
        <w:t>;37:176</w:t>
      </w:r>
      <w:proofErr w:type="gramEnd"/>
      <w:r w:rsidRPr="006F30E0">
        <w:rPr>
          <w:rFonts w:asciiTheme="majorHAnsi" w:hAnsiTheme="majorHAnsi" w:cs="Arial"/>
          <w:bCs/>
          <w:iCs/>
          <w:sz w:val="24"/>
          <w:szCs w:val="24"/>
        </w:rPr>
        <w:t>-183.</w:t>
      </w:r>
    </w:p>
  </w:endnote>
  <w:endnote w:id="10">
    <w:p w:rsidR="006F30E0" w:rsidRPr="006F30E0" w:rsidRDefault="006F30E0" w:rsidP="005F3965">
      <w:pPr>
        <w:pStyle w:val="EndnoteText"/>
        <w:ind w:left="1080" w:hanging="360"/>
        <w:rPr>
          <w:rFonts w:asciiTheme="majorHAnsi" w:hAnsiTheme="majorHAnsi" w:cs="Arial"/>
          <w:sz w:val="24"/>
          <w:szCs w:val="24"/>
        </w:rPr>
      </w:pPr>
      <w:r w:rsidRPr="006F30E0">
        <w:rPr>
          <w:rStyle w:val="EndnoteReference"/>
          <w:rFonts w:asciiTheme="majorHAnsi" w:hAnsiTheme="majorHAnsi" w:cs="Arial"/>
          <w:sz w:val="24"/>
          <w:szCs w:val="24"/>
        </w:rPr>
        <w:endnoteRef/>
      </w:r>
      <w:r w:rsidRPr="006F30E0">
        <w:rPr>
          <w:rFonts w:asciiTheme="majorHAnsi" w:hAnsiTheme="majorHAnsi" w:cs="Arial"/>
          <w:sz w:val="24"/>
          <w:szCs w:val="24"/>
        </w:rPr>
        <w:t xml:space="preserve"> Avorn J.  </w:t>
      </w:r>
      <w:proofErr w:type="gramStart"/>
      <w:r w:rsidRPr="006F30E0">
        <w:rPr>
          <w:rFonts w:asciiTheme="majorHAnsi" w:hAnsiTheme="majorHAnsi" w:cs="Arial"/>
          <w:sz w:val="24"/>
          <w:szCs w:val="24"/>
        </w:rPr>
        <w:t>Powerful medicines.</w:t>
      </w:r>
      <w:proofErr w:type="gramEnd"/>
      <w:r w:rsidRPr="006F30E0">
        <w:rPr>
          <w:rFonts w:asciiTheme="majorHAnsi" w:hAnsiTheme="majorHAnsi" w:cs="Arial"/>
          <w:sz w:val="24"/>
          <w:szCs w:val="24"/>
        </w:rPr>
        <w:t xml:space="preserve"> NY: Alfred A. Knopf, 2005.</w:t>
      </w:r>
    </w:p>
  </w:endnote>
  <w:endnote w:id="11">
    <w:p w:rsidR="006F30E0" w:rsidRPr="006F30E0" w:rsidRDefault="006F30E0" w:rsidP="005F3965">
      <w:pPr>
        <w:pStyle w:val="EndnoteText"/>
        <w:ind w:left="1080" w:hanging="360"/>
        <w:rPr>
          <w:rFonts w:asciiTheme="majorHAnsi" w:hAnsiTheme="majorHAnsi" w:cs="Arial"/>
          <w:sz w:val="24"/>
          <w:szCs w:val="24"/>
        </w:rPr>
      </w:pPr>
      <w:r w:rsidRPr="006F30E0">
        <w:rPr>
          <w:rStyle w:val="EndnoteReference"/>
          <w:rFonts w:asciiTheme="majorHAnsi" w:hAnsiTheme="majorHAnsi" w:cs="Arial"/>
          <w:sz w:val="24"/>
          <w:szCs w:val="24"/>
        </w:rPr>
        <w:endnoteRef/>
      </w:r>
      <w:r w:rsidRPr="006F30E0">
        <w:rPr>
          <w:rFonts w:asciiTheme="majorHAnsi" w:hAnsiTheme="majorHAnsi" w:cs="Arial"/>
          <w:sz w:val="24"/>
          <w:szCs w:val="24"/>
        </w:rPr>
        <w:t xml:space="preserve"> </w:t>
      </w:r>
      <w:proofErr w:type="spellStart"/>
      <w:r w:rsidRPr="006F30E0">
        <w:rPr>
          <w:rFonts w:asciiTheme="majorHAnsi" w:hAnsiTheme="majorHAnsi" w:cs="Arial"/>
          <w:sz w:val="24"/>
          <w:szCs w:val="24"/>
        </w:rPr>
        <w:t>Kassirer</w:t>
      </w:r>
      <w:proofErr w:type="spellEnd"/>
      <w:r w:rsidRPr="006F30E0">
        <w:rPr>
          <w:rFonts w:asciiTheme="majorHAnsi" w:hAnsiTheme="majorHAnsi" w:cs="Arial"/>
          <w:sz w:val="24"/>
          <w:szCs w:val="24"/>
        </w:rPr>
        <w:t xml:space="preserve"> JP. On the take: how medicine’s complicity with big business can endanger your health.  NY: Oxford </w:t>
      </w:r>
      <w:proofErr w:type="spellStart"/>
      <w:r w:rsidRPr="006F30E0">
        <w:rPr>
          <w:rFonts w:asciiTheme="majorHAnsi" w:hAnsiTheme="majorHAnsi" w:cs="Arial"/>
          <w:sz w:val="24"/>
          <w:szCs w:val="24"/>
        </w:rPr>
        <w:t>Univ</w:t>
      </w:r>
      <w:proofErr w:type="spellEnd"/>
      <w:r w:rsidRPr="006F30E0">
        <w:rPr>
          <w:rFonts w:asciiTheme="majorHAnsi" w:hAnsiTheme="majorHAnsi" w:cs="Arial"/>
          <w:sz w:val="24"/>
          <w:szCs w:val="24"/>
        </w:rPr>
        <w:t xml:space="preserve"> Press, 2004.</w:t>
      </w:r>
    </w:p>
  </w:endnote>
  <w:endnote w:id="12">
    <w:p w:rsidR="006F30E0" w:rsidRPr="006F30E0" w:rsidRDefault="006F30E0" w:rsidP="005F3965">
      <w:pPr>
        <w:pStyle w:val="title1"/>
        <w:spacing w:before="0" w:beforeAutospacing="0"/>
        <w:ind w:left="1080" w:hanging="360"/>
        <w:rPr>
          <w:rFonts w:asciiTheme="majorHAnsi" w:hAnsiTheme="majorHAnsi" w:cs="Arial"/>
          <w:sz w:val="24"/>
          <w:szCs w:val="24"/>
        </w:rPr>
      </w:pPr>
      <w:r w:rsidRPr="006F30E0">
        <w:rPr>
          <w:rStyle w:val="EndnoteReference"/>
          <w:rFonts w:asciiTheme="majorHAnsi" w:hAnsiTheme="majorHAnsi" w:cs="Arial"/>
          <w:sz w:val="24"/>
          <w:szCs w:val="24"/>
        </w:rPr>
        <w:endnoteRef/>
      </w:r>
      <w:r w:rsidRPr="006F30E0">
        <w:rPr>
          <w:rFonts w:asciiTheme="majorHAnsi" w:hAnsiTheme="majorHAnsi" w:cs="Arial"/>
          <w:sz w:val="24"/>
          <w:szCs w:val="24"/>
        </w:rPr>
        <w:t xml:space="preserve"> Sampat BN.  </w:t>
      </w:r>
      <w:proofErr w:type="gramStart"/>
      <w:r w:rsidRPr="006F30E0">
        <w:rPr>
          <w:rFonts w:asciiTheme="majorHAnsi" w:hAnsiTheme="majorHAnsi" w:cs="Arial"/>
          <w:sz w:val="24"/>
          <w:szCs w:val="24"/>
        </w:rPr>
        <w:t>Academic patents and access to medicines in developing countries.</w:t>
      </w:r>
      <w:proofErr w:type="gramEnd"/>
      <w:r w:rsidRPr="006F30E0">
        <w:rPr>
          <w:rFonts w:asciiTheme="majorHAnsi" w:hAnsiTheme="majorHAnsi" w:cs="Arial"/>
          <w:sz w:val="24"/>
          <w:szCs w:val="24"/>
        </w:rPr>
        <w:t xml:space="preserve">  </w:t>
      </w:r>
      <w:r w:rsidRPr="006F30E0">
        <w:rPr>
          <w:rStyle w:val="journalname"/>
          <w:rFonts w:asciiTheme="majorHAnsi" w:hAnsiTheme="majorHAnsi" w:cs="Arial"/>
          <w:sz w:val="24"/>
          <w:szCs w:val="24"/>
        </w:rPr>
        <w:t>Am J Public Health</w:t>
      </w:r>
      <w:r w:rsidRPr="006F30E0">
        <w:rPr>
          <w:rFonts w:asciiTheme="majorHAnsi" w:hAnsiTheme="majorHAnsi" w:cs="Arial"/>
          <w:sz w:val="24"/>
          <w:szCs w:val="24"/>
        </w:rPr>
        <w:t xml:space="preserve"> 2009</w:t>
      </w:r>
      <w:proofErr w:type="gramStart"/>
      <w:r w:rsidRPr="006F30E0">
        <w:rPr>
          <w:rFonts w:asciiTheme="majorHAnsi" w:hAnsiTheme="majorHAnsi" w:cs="Arial"/>
          <w:sz w:val="24"/>
          <w:szCs w:val="24"/>
        </w:rPr>
        <w:t>;99:9</w:t>
      </w:r>
      <w:proofErr w:type="gramEnd"/>
      <w:r w:rsidRPr="006F30E0">
        <w:rPr>
          <w:rFonts w:asciiTheme="majorHAnsi" w:hAnsiTheme="majorHAnsi" w:cs="Arial"/>
          <w:sz w:val="24"/>
          <w:szCs w:val="24"/>
        </w:rPr>
        <w:t>-17.</w:t>
      </w:r>
    </w:p>
  </w:endnote>
  <w:endnote w:id="13">
    <w:p w:rsidR="006F30E0" w:rsidRPr="006F30E0" w:rsidRDefault="006F30E0" w:rsidP="005F3965">
      <w:pPr>
        <w:pStyle w:val="EndnoteText"/>
        <w:ind w:left="1080" w:hanging="360"/>
        <w:rPr>
          <w:rFonts w:asciiTheme="majorHAnsi" w:hAnsiTheme="majorHAnsi"/>
          <w:sz w:val="24"/>
          <w:szCs w:val="24"/>
        </w:rPr>
      </w:pPr>
      <w:r w:rsidRPr="006F30E0">
        <w:rPr>
          <w:rStyle w:val="EndnoteReference"/>
          <w:rFonts w:asciiTheme="majorHAnsi" w:hAnsiTheme="majorHAnsi"/>
          <w:sz w:val="24"/>
          <w:szCs w:val="24"/>
        </w:rPr>
        <w:endnoteRef/>
      </w:r>
      <w:r w:rsidRPr="006F30E0">
        <w:rPr>
          <w:rFonts w:asciiTheme="majorHAnsi" w:hAnsiTheme="majorHAnsi"/>
          <w:sz w:val="24"/>
          <w:szCs w:val="24"/>
        </w:rPr>
        <w:t xml:space="preserve"> Schacht WH. Federal R&amp;D, drug discovery, and pricing: insights from the NIH-University-industry relationship.  14 Dec 2006.  </w:t>
      </w:r>
      <w:proofErr w:type="gramStart"/>
      <w:r w:rsidRPr="006F30E0">
        <w:rPr>
          <w:rFonts w:asciiTheme="majorHAnsi" w:hAnsiTheme="majorHAnsi"/>
          <w:sz w:val="24"/>
          <w:szCs w:val="24"/>
        </w:rPr>
        <w:t>CRS Report for Congress.</w:t>
      </w:r>
      <w:proofErr w:type="gramEnd"/>
      <w:r w:rsidRPr="006F30E0">
        <w:rPr>
          <w:rFonts w:asciiTheme="majorHAnsi" w:hAnsiTheme="majorHAnsi"/>
          <w:sz w:val="24"/>
          <w:szCs w:val="24"/>
        </w:rPr>
        <w:t xml:space="preserve">  </w:t>
      </w:r>
      <w:proofErr w:type="gramStart"/>
      <w:r w:rsidRPr="006F30E0">
        <w:rPr>
          <w:rFonts w:asciiTheme="majorHAnsi" w:hAnsiTheme="majorHAnsi"/>
          <w:sz w:val="24"/>
          <w:szCs w:val="24"/>
        </w:rPr>
        <w:t>Available at http://ncseonline.org/NLE/CRSreports/07Jan/RL32324.pdf.</w:t>
      </w:r>
      <w:proofErr w:type="gramEnd"/>
    </w:p>
  </w:endnote>
  <w:endnote w:id="14">
    <w:p w:rsidR="006F30E0" w:rsidRPr="006F30E0" w:rsidRDefault="006F30E0" w:rsidP="005F3965">
      <w:pPr>
        <w:pStyle w:val="EndnoteText"/>
        <w:ind w:left="1080" w:hanging="360"/>
        <w:rPr>
          <w:rFonts w:asciiTheme="majorHAnsi" w:hAnsiTheme="majorHAnsi" w:cs="Arial"/>
          <w:sz w:val="24"/>
          <w:szCs w:val="24"/>
        </w:rPr>
      </w:pPr>
      <w:r w:rsidRPr="006F30E0">
        <w:rPr>
          <w:rStyle w:val="EndnoteReference"/>
          <w:rFonts w:asciiTheme="majorHAnsi" w:hAnsiTheme="majorHAnsi" w:cs="Arial"/>
          <w:sz w:val="24"/>
          <w:szCs w:val="24"/>
        </w:rPr>
        <w:endnoteRef/>
      </w:r>
      <w:r w:rsidRPr="006F30E0">
        <w:rPr>
          <w:rFonts w:asciiTheme="majorHAnsi" w:hAnsiTheme="majorHAnsi" w:cs="Arial"/>
          <w:sz w:val="24"/>
          <w:szCs w:val="24"/>
        </w:rPr>
        <w:t xml:space="preserve"> General Accounting Office. </w:t>
      </w:r>
      <w:proofErr w:type="gramStart"/>
      <w:r w:rsidRPr="006F30E0">
        <w:rPr>
          <w:rFonts w:asciiTheme="majorHAnsi" w:hAnsiTheme="majorHAnsi" w:cs="Arial"/>
          <w:sz w:val="24"/>
          <w:szCs w:val="24"/>
        </w:rPr>
        <w:t xml:space="preserve">NIH-private sector partnership in the development of </w:t>
      </w:r>
      <w:proofErr w:type="spellStart"/>
      <w:r w:rsidRPr="006F30E0">
        <w:rPr>
          <w:rFonts w:asciiTheme="majorHAnsi" w:hAnsiTheme="majorHAnsi" w:cs="Arial"/>
          <w:sz w:val="24"/>
          <w:szCs w:val="24"/>
        </w:rPr>
        <w:t>Taxol</w:t>
      </w:r>
      <w:proofErr w:type="spellEnd"/>
      <w:r w:rsidRPr="006F30E0">
        <w:rPr>
          <w:rFonts w:asciiTheme="majorHAnsi" w:hAnsiTheme="majorHAnsi" w:cs="Arial"/>
          <w:sz w:val="24"/>
          <w:szCs w:val="24"/>
        </w:rPr>
        <w:t>.</w:t>
      </w:r>
      <w:proofErr w:type="gramEnd"/>
      <w:r w:rsidRPr="006F30E0">
        <w:rPr>
          <w:rFonts w:asciiTheme="majorHAnsi" w:hAnsiTheme="majorHAnsi" w:cs="Arial"/>
          <w:sz w:val="24"/>
          <w:szCs w:val="24"/>
        </w:rPr>
        <w:t xml:space="preserve">  2003. Available at www.gao.gov/cgi-bin/getrpt?GAO-03-829.</w:t>
      </w:r>
    </w:p>
  </w:endnote>
  <w:endnote w:id="15">
    <w:p w:rsidR="00905AE8" w:rsidRPr="00905AE8" w:rsidRDefault="00905AE8" w:rsidP="00905AE8">
      <w:pPr>
        <w:pStyle w:val="EndnoteText"/>
        <w:ind w:left="1080" w:hanging="360"/>
        <w:rPr>
          <w:rFonts w:asciiTheme="majorHAnsi" w:hAnsiTheme="majorHAnsi" w:cs="Courier New"/>
          <w:sz w:val="24"/>
          <w:szCs w:val="24"/>
        </w:rPr>
      </w:pPr>
      <w:r w:rsidRPr="00905AE8">
        <w:rPr>
          <w:rStyle w:val="EndnoteReference"/>
          <w:rFonts w:asciiTheme="majorHAnsi" w:hAnsiTheme="majorHAnsi" w:cs="Courier New"/>
          <w:sz w:val="24"/>
          <w:szCs w:val="24"/>
        </w:rPr>
        <w:endnoteRef/>
      </w:r>
      <w:r w:rsidRPr="00905AE8">
        <w:rPr>
          <w:rFonts w:asciiTheme="majorHAnsi" w:hAnsiTheme="majorHAnsi" w:cs="Courier New"/>
          <w:sz w:val="24"/>
          <w:szCs w:val="24"/>
        </w:rPr>
        <w:t xml:space="preserve"> Garber </w:t>
      </w:r>
      <w:proofErr w:type="gramStart"/>
      <w:r w:rsidRPr="00905AE8">
        <w:rPr>
          <w:rFonts w:asciiTheme="majorHAnsi" w:hAnsiTheme="majorHAnsi" w:cs="Courier New"/>
          <w:sz w:val="24"/>
          <w:szCs w:val="24"/>
        </w:rPr>
        <w:t>AM</w:t>
      </w:r>
      <w:proofErr w:type="gramEnd"/>
      <w:r w:rsidRPr="00905AE8">
        <w:rPr>
          <w:rFonts w:asciiTheme="majorHAnsi" w:hAnsiTheme="majorHAnsi" w:cs="Courier New"/>
          <w:sz w:val="24"/>
          <w:szCs w:val="24"/>
        </w:rPr>
        <w:t xml:space="preserve">, Clarke AE, Goldman DP, Gluck ME. Federal and private roles in the development and provision of </w:t>
      </w:r>
      <w:proofErr w:type="spellStart"/>
      <w:r w:rsidRPr="00905AE8">
        <w:rPr>
          <w:rFonts w:asciiTheme="majorHAnsi" w:hAnsiTheme="majorHAnsi" w:cs="Courier New"/>
          <w:sz w:val="24"/>
          <w:szCs w:val="24"/>
        </w:rPr>
        <w:t>alglucerase</w:t>
      </w:r>
      <w:proofErr w:type="spellEnd"/>
      <w:r w:rsidRPr="00905AE8">
        <w:rPr>
          <w:rFonts w:asciiTheme="majorHAnsi" w:hAnsiTheme="majorHAnsi" w:cs="Courier New"/>
          <w:sz w:val="24"/>
          <w:szCs w:val="24"/>
        </w:rPr>
        <w:t xml:space="preserve"> therapy for </w:t>
      </w:r>
      <w:proofErr w:type="spellStart"/>
      <w:proofErr w:type="gramStart"/>
      <w:r w:rsidRPr="00905AE8">
        <w:rPr>
          <w:rFonts w:asciiTheme="majorHAnsi" w:hAnsiTheme="majorHAnsi" w:cs="Courier New"/>
          <w:sz w:val="24"/>
          <w:szCs w:val="24"/>
        </w:rPr>
        <w:t>Gaucher</w:t>
      </w:r>
      <w:proofErr w:type="spellEnd"/>
      <w:proofErr w:type="gramEnd"/>
      <w:r w:rsidRPr="00905AE8">
        <w:rPr>
          <w:rFonts w:asciiTheme="majorHAnsi" w:hAnsiTheme="majorHAnsi" w:cs="Courier New"/>
          <w:sz w:val="24"/>
          <w:szCs w:val="24"/>
        </w:rPr>
        <w:t xml:space="preserve"> disease [Internet]. Office of Techn</w:t>
      </w:r>
      <w:r w:rsidR="005850E5">
        <w:rPr>
          <w:rFonts w:asciiTheme="majorHAnsi" w:hAnsiTheme="majorHAnsi" w:cs="Courier New"/>
          <w:sz w:val="24"/>
          <w:szCs w:val="24"/>
        </w:rPr>
        <w:t>ology Assessment; October 1992</w:t>
      </w:r>
      <w:r w:rsidRPr="00905AE8">
        <w:rPr>
          <w:rFonts w:asciiTheme="majorHAnsi" w:hAnsiTheme="majorHAnsi" w:cs="Courier New"/>
          <w:sz w:val="24"/>
          <w:szCs w:val="24"/>
        </w:rPr>
        <w:t>.  Available from: https://www.princeton.edu/~ota/disk1/1992/9214/9214.PDF.</w:t>
      </w:r>
    </w:p>
  </w:endnote>
  <w:endnote w:id="16">
    <w:p w:rsidR="00905AE8" w:rsidRPr="00905AE8" w:rsidRDefault="00905AE8" w:rsidP="00905AE8">
      <w:pPr>
        <w:pStyle w:val="EndnoteText"/>
        <w:ind w:left="1080" w:hanging="360"/>
        <w:rPr>
          <w:rFonts w:asciiTheme="majorHAnsi" w:hAnsiTheme="majorHAnsi" w:cs="Courier New"/>
          <w:sz w:val="24"/>
          <w:szCs w:val="24"/>
        </w:rPr>
      </w:pPr>
      <w:r w:rsidRPr="00905AE8">
        <w:rPr>
          <w:rStyle w:val="EndnoteReference"/>
          <w:rFonts w:asciiTheme="majorHAnsi" w:hAnsiTheme="majorHAnsi" w:cs="Courier New"/>
          <w:sz w:val="24"/>
          <w:szCs w:val="24"/>
        </w:rPr>
        <w:endnoteRef/>
      </w:r>
      <w:r w:rsidRPr="00905AE8">
        <w:rPr>
          <w:rFonts w:asciiTheme="majorHAnsi" w:hAnsiTheme="majorHAnsi" w:cs="Courier New"/>
          <w:sz w:val="24"/>
          <w:szCs w:val="24"/>
        </w:rPr>
        <w:t xml:space="preserve"> Easton J. Eugene </w:t>
      </w:r>
      <w:proofErr w:type="spellStart"/>
      <w:r w:rsidRPr="00905AE8">
        <w:rPr>
          <w:rFonts w:asciiTheme="majorHAnsi" w:hAnsiTheme="majorHAnsi" w:cs="Courier New"/>
          <w:sz w:val="24"/>
          <w:szCs w:val="24"/>
        </w:rPr>
        <w:t>Goldwasser</w:t>
      </w:r>
      <w:proofErr w:type="spellEnd"/>
      <w:r w:rsidRPr="00905AE8">
        <w:rPr>
          <w:rFonts w:asciiTheme="majorHAnsi" w:hAnsiTheme="majorHAnsi" w:cs="Courier New"/>
          <w:sz w:val="24"/>
          <w:szCs w:val="24"/>
        </w:rPr>
        <w:t xml:space="preserve">, biochemist behind blockbuster anemia drug, 1922-2010 [Internet]. </w:t>
      </w:r>
      <w:proofErr w:type="spellStart"/>
      <w:r w:rsidR="005850E5">
        <w:rPr>
          <w:rFonts w:asciiTheme="majorHAnsi" w:hAnsiTheme="majorHAnsi" w:cs="Courier New"/>
          <w:sz w:val="24"/>
          <w:szCs w:val="24"/>
        </w:rPr>
        <w:t>UChicagoNews</w:t>
      </w:r>
      <w:proofErr w:type="spellEnd"/>
      <w:r w:rsidR="005850E5">
        <w:rPr>
          <w:rFonts w:asciiTheme="majorHAnsi" w:hAnsiTheme="majorHAnsi" w:cs="Courier New"/>
          <w:sz w:val="24"/>
          <w:szCs w:val="24"/>
        </w:rPr>
        <w:t>; 2010 December 22</w:t>
      </w:r>
      <w:r w:rsidRPr="00905AE8">
        <w:rPr>
          <w:rFonts w:asciiTheme="majorHAnsi" w:hAnsiTheme="majorHAnsi" w:cs="Courier New"/>
          <w:sz w:val="24"/>
          <w:szCs w:val="24"/>
        </w:rPr>
        <w:t>.  Available from: http://news.uchicago.edu/article/2010/12/22/eugene-goldwasser-biochemist-behind-blockbuster-anemia-drug-1922-2010</w:t>
      </w:r>
    </w:p>
  </w:endnote>
  <w:endnote w:id="17">
    <w:p w:rsidR="00905AE8" w:rsidRPr="00905AE8" w:rsidRDefault="00905AE8" w:rsidP="00905AE8">
      <w:pPr>
        <w:pStyle w:val="EndnoteText"/>
        <w:ind w:left="1080" w:hanging="360"/>
        <w:rPr>
          <w:rFonts w:asciiTheme="majorHAnsi" w:hAnsiTheme="majorHAnsi" w:cs="Courier New"/>
          <w:sz w:val="24"/>
          <w:szCs w:val="24"/>
        </w:rPr>
      </w:pPr>
      <w:r w:rsidRPr="00905AE8">
        <w:rPr>
          <w:rStyle w:val="EndnoteReference"/>
          <w:rFonts w:asciiTheme="majorHAnsi" w:hAnsiTheme="majorHAnsi" w:cs="Courier New"/>
          <w:sz w:val="24"/>
          <w:szCs w:val="24"/>
        </w:rPr>
        <w:endnoteRef/>
      </w:r>
      <w:r w:rsidRPr="00905AE8">
        <w:rPr>
          <w:rFonts w:asciiTheme="majorHAnsi" w:hAnsiTheme="majorHAnsi" w:cs="Courier New"/>
          <w:sz w:val="24"/>
          <w:szCs w:val="24"/>
        </w:rPr>
        <w:t xml:space="preserve"> Lin F</w:t>
      </w:r>
      <w:r w:rsidRPr="00905AE8">
        <w:rPr>
          <w:rFonts w:asciiTheme="majorHAnsi" w:hAnsiTheme="majorHAnsi" w:cs="Courier New"/>
          <w:color w:val="000000"/>
          <w:sz w:val="24"/>
          <w:szCs w:val="24"/>
          <w:shd w:val="clear" w:color="auto" w:fill="FFFFFF"/>
        </w:rPr>
        <w:t xml:space="preserve">, Suggs S, Lin CH, Browne JK, </w:t>
      </w:r>
      <w:proofErr w:type="spellStart"/>
      <w:r w:rsidRPr="00905AE8">
        <w:rPr>
          <w:rFonts w:asciiTheme="majorHAnsi" w:hAnsiTheme="majorHAnsi" w:cs="Courier New"/>
          <w:color w:val="000000"/>
          <w:sz w:val="24"/>
          <w:szCs w:val="24"/>
          <w:shd w:val="clear" w:color="auto" w:fill="FFFFFF"/>
        </w:rPr>
        <w:t>Smalling</w:t>
      </w:r>
      <w:proofErr w:type="spellEnd"/>
      <w:r w:rsidRPr="00905AE8">
        <w:rPr>
          <w:rFonts w:asciiTheme="majorHAnsi" w:hAnsiTheme="majorHAnsi" w:cs="Courier New"/>
          <w:color w:val="000000"/>
          <w:sz w:val="24"/>
          <w:szCs w:val="24"/>
          <w:shd w:val="clear" w:color="auto" w:fill="FFFFFF"/>
        </w:rPr>
        <w:t xml:space="preserve"> R, </w:t>
      </w:r>
      <w:proofErr w:type="spellStart"/>
      <w:r w:rsidRPr="00905AE8">
        <w:rPr>
          <w:rFonts w:asciiTheme="majorHAnsi" w:hAnsiTheme="majorHAnsi" w:cs="Courier New"/>
          <w:color w:val="000000"/>
          <w:sz w:val="24"/>
          <w:szCs w:val="24"/>
          <w:shd w:val="clear" w:color="auto" w:fill="FFFFFF"/>
        </w:rPr>
        <w:t>Egrie</w:t>
      </w:r>
      <w:proofErr w:type="spellEnd"/>
      <w:r w:rsidRPr="00905AE8">
        <w:rPr>
          <w:rFonts w:asciiTheme="majorHAnsi" w:hAnsiTheme="majorHAnsi" w:cs="Courier New"/>
          <w:color w:val="000000"/>
          <w:sz w:val="24"/>
          <w:szCs w:val="24"/>
          <w:shd w:val="clear" w:color="auto" w:fill="FFFFFF"/>
        </w:rPr>
        <w:t xml:space="preserve"> JC, et al</w:t>
      </w:r>
      <w:r w:rsidRPr="00905AE8">
        <w:rPr>
          <w:rFonts w:asciiTheme="majorHAnsi" w:hAnsiTheme="majorHAnsi" w:cs="Courier New"/>
          <w:sz w:val="24"/>
          <w:szCs w:val="24"/>
        </w:rPr>
        <w:t xml:space="preserve">. Cloning and expression of the human erythropoietin gene. Proc </w:t>
      </w:r>
      <w:proofErr w:type="spellStart"/>
      <w:r w:rsidRPr="00905AE8">
        <w:rPr>
          <w:rFonts w:asciiTheme="majorHAnsi" w:hAnsiTheme="majorHAnsi" w:cs="Courier New"/>
          <w:sz w:val="24"/>
          <w:szCs w:val="24"/>
        </w:rPr>
        <w:t>Natl</w:t>
      </w:r>
      <w:proofErr w:type="spellEnd"/>
      <w:r w:rsidRPr="00905AE8">
        <w:rPr>
          <w:rFonts w:asciiTheme="majorHAnsi" w:hAnsiTheme="majorHAnsi" w:cs="Courier New"/>
          <w:sz w:val="24"/>
          <w:szCs w:val="24"/>
        </w:rPr>
        <w:t xml:space="preserve"> </w:t>
      </w:r>
      <w:proofErr w:type="spellStart"/>
      <w:r w:rsidRPr="00905AE8">
        <w:rPr>
          <w:rFonts w:asciiTheme="majorHAnsi" w:hAnsiTheme="majorHAnsi" w:cs="Courier New"/>
          <w:sz w:val="24"/>
          <w:szCs w:val="24"/>
        </w:rPr>
        <w:t>Acad</w:t>
      </w:r>
      <w:proofErr w:type="spellEnd"/>
      <w:r w:rsidRPr="00905AE8">
        <w:rPr>
          <w:rFonts w:asciiTheme="majorHAnsi" w:hAnsiTheme="majorHAnsi" w:cs="Courier New"/>
          <w:sz w:val="24"/>
          <w:szCs w:val="24"/>
        </w:rPr>
        <w:t xml:space="preserve"> Sci. 1985</w:t>
      </w:r>
      <w:proofErr w:type="gramStart"/>
      <w:r w:rsidRPr="00905AE8">
        <w:rPr>
          <w:rFonts w:asciiTheme="majorHAnsi" w:hAnsiTheme="majorHAnsi" w:cs="Courier New"/>
          <w:sz w:val="24"/>
          <w:szCs w:val="24"/>
        </w:rPr>
        <w:t>;82:7580</w:t>
      </w:r>
      <w:proofErr w:type="gramEnd"/>
      <w:r w:rsidRPr="00905AE8">
        <w:rPr>
          <w:rFonts w:asciiTheme="majorHAnsi" w:hAnsiTheme="majorHAnsi" w:cs="Courier New"/>
          <w:sz w:val="24"/>
          <w:szCs w:val="24"/>
        </w:rPr>
        <w:t>-4.</w:t>
      </w:r>
    </w:p>
  </w:endnote>
  <w:endnote w:id="18">
    <w:p w:rsidR="00905AE8" w:rsidRPr="00905AE8" w:rsidRDefault="00905AE8" w:rsidP="00905AE8">
      <w:pPr>
        <w:pStyle w:val="EndnoteText"/>
        <w:ind w:left="1080" w:hanging="360"/>
        <w:rPr>
          <w:rFonts w:asciiTheme="majorHAnsi" w:hAnsiTheme="majorHAnsi" w:cs="Courier New"/>
          <w:sz w:val="24"/>
          <w:szCs w:val="24"/>
        </w:rPr>
      </w:pPr>
      <w:r w:rsidRPr="00905AE8">
        <w:rPr>
          <w:rStyle w:val="EndnoteReference"/>
          <w:rFonts w:asciiTheme="majorHAnsi" w:hAnsiTheme="majorHAnsi" w:cs="Courier New"/>
          <w:sz w:val="24"/>
          <w:szCs w:val="24"/>
        </w:rPr>
        <w:endnoteRef/>
      </w:r>
      <w:r w:rsidRPr="00905AE8">
        <w:rPr>
          <w:rFonts w:asciiTheme="majorHAnsi" w:hAnsiTheme="majorHAnsi" w:cs="Courier New"/>
          <w:sz w:val="24"/>
          <w:szCs w:val="24"/>
        </w:rPr>
        <w:t xml:space="preserve"> </w:t>
      </w:r>
      <w:proofErr w:type="spellStart"/>
      <w:r w:rsidRPr="00905AE8">
        <w:rPr>
          <w:rFonts w:asciiTheme="majorHAnsi" w:hAnsiTheme="majorHAnsi" w:cs="Courier New"/>
          <w:sz w:val="24"/>
          <w:szCs w:val="24"/>
        </w:rPr>
        <w:t>Druker</w:t>
      </w:r>
      <w:proofErr w:type="spellEnd"/>
      <w:r w:rsidRPr="00905AE8">
        <w:rPr>
          <w:rFonts w:asciiTheme="majorHAnsi" w:hAnsiTheme="majorHAnsi" w:cs="Courier New"/>
          <w:sz w:val="24"/>
          <w:szCs w:val="24"/>
        </w:rPr>
        <w:t xml:space="preserve"> BJ. </w:t>
      </w:r>
      <w:proofErr w:type="gramStart"/>
      <w:r w:rsidRPr="00905AE8">
        <w:rPr>
          <w:rFonts w:asciiTheme="majorHAnsi" w:hAnsiTheme="majorHAnsi" w:cs="Courier New"/>
          <w:sz w:val="24"/>
          <w:szCs w:val="24"/>
        </w:rPr>
        <w:t xml:space="preserve">Perspectives on the development of </w:t>
      </w:r>
      <w:proofErr w:type="spellStart"/>
      <w:r w:rsidRPr="00905AE8">
        <w:rPr>
          <w:rFonts w:asciiTheme="majorHAnsi" w:hAnsiTheme="majorHAnsi" w:cs="Courier New"/>
          <w:sz w:val="24"/>
          <w:szCs w:val="24"/>
        </w:rPr>
        <w:t>imatinib</w:t>
      </w:r>
      <w:proofErr w:type="spellEnd"/>
      <w:r w:rsidRPr="00905AE8">
        <w:rPr>
          <w:rFonts w:asciiTheme="majorHAnsi" w:hAnsiTheme="majorHAnsi" w:cs="Courier New"/>
          <w:sz w:val="24"/>
          <w:szCs w:val="24"/>
        </w:rPr>
        <w:t xml:space="preserve"> and the future of cancer research.</w:t>
      </w:r>
      <w:proofErr w:type="gramEnd"/>
      <w:r w:rsidRPr="00905AE8">
        <w:rPr>
          <w:rFonts w:asciiTheme="majorHAnsi" w:hAnsiTheme="majorHAnsi" w:cs="Courier New"/>
          <w:sz w:val="24"/>
          <w:szCs w:val="24"/>
        </w:rPr>
        <w:t xml:space="preserve"> Nature Med. 2009</w:t>
      </w:r>
      <w:proofErr w:type="gramStart"/>
      <w:r w:rsidRPr="00905AE8">
        <w:rPr>
          <w:rFonts w:asciiTheme="majorHAnsi" w:hAnsiTheme="majorHAnsi" w:cs="Courier New"/>
          <w:sz w:val="24"/>
          <w:szCs w:val="24"/>
        </w:rPr>
        <w:t>;15</w:t>
      </w:r>
      <w:proofErr w:type="gramEnd"/>
      <w:r w:rsidRPr="00905AE8">
        <w:rPr>
          <w:rFonts w:asciiTheme="majorHAnsi" w:hAnsiTheme="majorHAnsi" w:cs="Courier New"/>
          <w:sz w:val="24"/>
          <w:szCs w:val="24"/>
        </w:rPr>
        <w:t>(10):xv-xviii.</w:t>
      </w:r>
    </w:p>
  </w:endnote>
  <w:endnote w:id="19">
    <w:p w:rsidR="00905AE8" w:rsidRPr="00905AE8" w:rsidRDefault="00905AE8" w:rsidP="00905AE8">
      <w:pPr>
        <w:pStyle w:val="desc"/>
        <w:shd w:val="clear" w:color="auto" w:fill="FFFFFF"/>
        <w:spacing w:before="0" w:beforeAutospacing="0" w:after="0" w:afterAutospacing="0"/>
        <w:ind w:left="1080" w:hanging="360"/>
        <w:rPr>
          <w:rFonts w:asciiTheme="majorHAnsi" w:hAnsiTheme="majorHAnsi" w:cs="Courier New"/>
          <w:color w:val="000000"/>
        </w:rPr>
      </w:pPr>
      <w:r w:rsidRPr="00905AE8">
        <w:rPr>
          <w:rStyle w:val="EndnoteReference"/>
          <w:rFonts w:asciiTheme="majorHAnsi" w:hAnsiTheme="majorHAnsi" w:cs="Courier New"/>
        </w:rPr>
        <w:endnoteRef/>
      </w:r>
      <w:r w:rsidRPr="00905AE8">
        <w:rPr>
          <w:rFonts w:asciiTheme="majorHAnsi" w:hAnsiTheme="majorHAnsi" w:cs="Courier New"/>
        </w:rPr>
        <w:t xml:space="preserve"> </w:t>
      </w:r>
      <w:proofErr w:type="spellStart"/>
      <w:r w:rsidRPr="00905AE8">
        <w:rPr>
          <w:rFonts w:asciiTheme="majorHAnsi" w:hAnsiTheme="majorHAnsi" w:cs="Courier New"/>
          <w:bCs/>
          <w:color w:val="000000"/>
        </w:rPr>
        <w:t>Caine</w:t>
      </w:r>
      <w:proofErr w:type="spellEnd"/>
      <w:r w:rsidRPr="00905AE8">
        <w:rPr>
          <w:rFonts w:asciiTheme="majorHAnsi" w:hAnsiTheme="majorHAnsi" w:cs="Courier New"/>
          <w:bCs/>
          <w:color w:val="000000"/>
        </w:rPr>
        <w:t xml:space="preserve"> M</w:t>
      </w:r>
      <w:r w:rsidRPr="00905AE8">
        <w:rPr>
          <w:rFonts w:asciiTheme="majorHAnsi" w:hAnsiTheme="majorHAnsi" w:cs="Courier New"/>
          <w:color w:val="000000"/>
        </w:rPr>
        <w:t xml:space="preserve">, </w:t>
      </w:r>
      <w:proofErr w:type="spellStart"/>
      <w:r w:rsidRPr="00905AE8">
        <w:rPr>
          <w:rFonts w:asciiTheme="majorHAnsi" w:hAnsiTheme="majorHAnsi" w:cs="Courier New"/>
          <w:color w:val="000000"/>
        </w:rPr>
        <w:t>Raz</w:t>
      </w:r>
      <w:proofErr w:type="spellEnd"/>
      <w:r w:rsidRPr="00905AE8">
        <w:rPr>
          <w:rFonts w:asciiTheme="majorHAnsi" w:hAnsiTheme="majorHAnsi" w:cs="Courier New"/>
          <w:color w:val="000000"/>
        </w:rPr>
        <w:t xml:space="preserve"> S, Zeigler M.  </w:t>
      </w:r>
      <w:proofErr w:type="gramStart"/>
      <w:r w:rsidRPr="00905AE8">
        <w:rPr>
          <w:rFonts w:asciiTheme="majorHAnsi" w:hAnsiTheme="majorHAnsi" w:cs="Courier New"/>
          <w:color w:val="000000"/>
        </w:rPr>
        <w:t>Adrenergic and cholinergic receptors in the human</w:t>
      </w:r>
      <w:r w:rsidRPr="00905AE8">
        <w:rPr>
          <w:rStyle w:val="apple-converted-space"/>
          <w:rFonts w:asciiTheme="majorHAnsi" w:hAnsiTheme="majorHAnsi" w:cs="Courier New"/>
          <w:color w:val="642A8F"/>
        </w:rPr>
        <w:t> </w:t>
      </w:r>
      <w:r w:rsidRPr="00905AE8">
        <w:rPr>
          <w:rFonts w:asciiTheme="majorHAnsi" w:hAnsiTheme="majorHAnsi" w:cs="Courier New"/>
          <w:bCs/>
          <w:color w:val="000000"/>
        </w:rPr>
        <w:t>prostate</w:t>
      </w:r>
      <w:r w:rsidRPr="00905AE8">
        <w:rPr>
          <w:rFonts w:asciiTheme="majorHAnsi" w:hAnsiTheme="majorHAnsi" w:cs="Courier New"/>
          <w:color w:val="000000"/>
        </w:rPr>
        <w:t>, prostatic capsule and bladder neck.</w:t>
      </w:r>
      <w:proofErr w:type="gramEnd"/>
      <w:r w:rsidRPr="00905AE8">
        <w:rPr>
          <w:rFonts w:asciiTheme="majorHAnsi" w:hAnsiTheme="majorHAnsi" w:cs="Courier New"/>
          <w:color w:val="000000"/>
        </w:rPr>
        <w:t xml:space="preserve">  </w:t>
      </w:r>
      <w:r w:rsidRPr="00905AE8">
        <w:rPr>
          <w:rStyle w:val="jrnl"/>
          <w:rFonts w:asciiTheme="majorHAnsi" w:hAnsiTheme="majorHAnsi" w:cs="Courier New"/>
          <w:color w:val="000000"/>
        </w:rPr>
        <w:t>Br J Urol</w:t>
      </w:r>
      <w:r w:rsidRPr="00905AE8">
        <w:rPr>
          <w:rFonts w:asciiTheme="majorHAnsi" w:hAnsiTheme="majorHAnsi" w:cs="Courier New"/>
          <w:color w:val="000000"/>
        </w:rPr>
        <w:t>. 1975</w:t>
      </w:r>
      <w:proofErr w:type="gramStart"/>
      <w:r w:rsidRPr="00905AE8">
        <w:rPr>
          <w:rFonts w:asciiTheme="majorHAnsi" w:hAnsiTheme="majorHAnsi" w:cs="Courier New"/>
          <w:color w:val="000000"/>
        </w:rPr>
        <w:t>;47</w:t>
      </w:r>
      <w:proofErr w:type="gramEnd"/>
      <w:r w:rsidRPr="00905AE8">
        <w:rPr>
          <w:rFonts w:asciiTheme="majorHAnsi" w:hAnsiTheme="majorHAnsi" w:cs="Courier New"/>
          <w:color w:val="000000"/>
        </w:rPr>
        <w:t>(2):193-202.</w:t>
      </w:r>
    </w:p>
  </w:endnote>
  <w:endnote w:id="20">
    <w:p w:rsidR="00905AE8" w:rsidRPr="00905AE8" w:rsidRDefault="00905AE8" w:rsidP="00905AE8">
      <w:pPr>
        <w:pStyle w:val="EndnoteText"/>
        <w:ind w:left="1080" w:hanging="360"/>
        <w:rPr>
          <w:rFonts w:asciiTheme="majorHAnsi" w:hAnsiTheme="majorHAnsi" w:cs="Courier New"/>
          <w:sz w:val="24"/>
          <w:szCs w:val="24"/>
        </w:rPr>
      </w:pPr>
      <w:r w:rsidRPr="00905AE8">
        <w:rPr>
          <w:rStyle w:val="EndnoteReference"/>
          <w:rFonts w:asciiTheme="majorHAnsi" w:hAnsiTheme="majorHAnsi" w:cs="Courier New"/>
          <w:sz w:val="24"/>
          <w:szCs w:val="24"/>
        </w:rPr>
        <w:endnoteRef/>
      </w:r>
      <w:r w:rsidRPr="00905AE8">
        <w:rPr>
          <w:rFonts w:asciiTheme="majorHAnsi" w:hAnsiTheme="majorHAnsi" w:cs="Courier New"/>
          <w:sz w:val="24"/>
          <w:szCs w:val="24"/>
        </w:rPr>
        <w:t xml:space="preserve"> </w:t>
      </w:r>
      <w:proofErr w:type="spellStart"/>
      <w:proofErr w:type="gramStart"/>
      <w:r w:rsidRPr="00905AE8">
        <w:rPr>
          <w:rFonts w:asciiTheme="majorHAnsi" w:hAnsiTheme="majorHAnsi" w:cs="Courier New"/>
          <w:sz w:val="24"/>
          <w:szCs w:val="24"/>
        </w:rPr>
        <w:t>Takenaka</w:t>
      </w:r>
      <w:proofErr w:type="spellEnd"/>
      <w:r w:rsidRPr="00905AE8">
        <w:rPr>
          <w:rFonts w:asciiTheme="majorHAnsi" w:hAnsiTheme="majorHAnsi" w:cs="Courier New"/>
          <w:sz w:val="24"/>
          <w:szCs w:val="24"/>
        </w:rPr>
        <w:t xml:space="preserve"> T. Legends in urology.</w:t>
      </w:r>
      <w:proofErr w:type="gramEnd"/>
      <w:r w:rsidRPr="00905AE8">
        <w:rPr>
          <w:rFonts w:asciiTheme="majorHAnsi" w:hAnsiTheme="majorHAnsi" w:cs="Courier New"/>
          <w:sz w:val="24"/>
          <w:szCs w:val="24"/>
        </w:rPr>
        <w:t xml:space="preserve"> Can J Urol. 2010</w:t>
      </w:r>
      <w:proofErr w:type="gramStart"/>
      <w:r w:rsidRPr="00905AE8">
        <w:rPr>
          <w:rFonts w:asciiTheme="majorHAnsi" w:hAnsiTheme="majorHAnsi" w:cs="Courier New"/>
          <w:sz w:val="24"/>
          <w:szCs w:val="24"/>
        </w:rPr>
        <w:t>;17</w:t>
      </w:r>
      <w:proofErr w:type="gramEnd"/>
      <w:r w:rsidRPr="00905AE8">
        <w:rPr>
          <w:rFonts w:asciiTheme="majorHAnsi" w:hAnsiTheme="majorHAnsi" w:cs="Courier New"/>
          <w:sz w:val="24"/>
          <w:szCs w:val="24"/>
        </w:rPr>
        <w:t>(5):5344-5.</w:t>
      </w:r>
    </w:p>
  </w:endnote>
  <w:endnote w:id="21">
    <w:p w:rsidR="00905AE8" w:rsidRPr="00905AE8" w:rsidRDefault="00905AE8" w:rsidP="00905AE8">
      <w:pPr>
        <w:pStyle w:val="EndnoteText"/>
        <w:ind w:left="1080" w:hanging="360"/>
        <w:rPr>
          <w:rFonts w:asciiTheme="majorHAnsi" w:hAnsiTheme="majorHAnsi" w:cs="Courier New"/>
          <w:sz w:val="24"/>
          <w:szCs w:val="24"/>
        </w:rPr>
      </w:pPr>
      <w:r w:rsidRPr="00905AE8">
        <w:rPr>
          <w:rStyle w:val="EndnoteReference"/>
          <w:rFonts w:asciiTheme="majorHAnsi" w:hAnsiTheme="majorHAnsi" w:cs="Courier New"/>
          <w:sz w:val="24"/>
          <w:szCs w:val="24"/>
        </w:rPr>
        <w:endnoteRef/>
      </w:r>
      <w:r w:rsidRPr="00905AE8">
        <w:rPr>
          <w:rFonts w:asciiTheme="majorHAnsi" w:hAnsiTheme="majorHAnsi" w:cs="Courier New"/>
          <w:sz w:val="24"/>
          <w:szCs w:val="24"/>
        </w:rPr>
        <w:t xml:space="preserve"> </w:t>
      </w:r>
      <w:proofErr w:type="spellStart"/>
      <w:r w:rsidRPr="00905AE8">
        <w:rPr>
          <w:rFonts w:asciiTheme="majorHAnsi" w:hAnsiTheme="majorHAnsi" w:cs="Courier New"/>
          <w:sz w:val="24"/>
          <w:szCs w:val="24"/>
        </w:rPr>
        <w:t>Carlsson</w:t>
      </w:r>
      <w:proofErr w:type="spellEnd"/>
      <w:r w:rsidRPr="00905AE8">
        <w:rPr>
          <w:rFonts w:asciiTheme="majorHAnsi" w:hAnsiTheme="majorHAnsi" w:cs="Courier New"/>
          <w:sz w:val="24"/>
          <w:szCs w:val="24"/>
        </w:rPr>
        <w:t xml:space="preserve"> A. </w:t>
      </w:r>
      <w:proofErr w:type="gramStart"/>
      <w:r w:rsidRPr="00905AE8">
        <w:rPr>
          <w:rFonts w:asciiTheme="majorHAnsi" w:hAnsiTheme="majorHAnsi" w:cs="Courier New"/>
          <w:sz w:val="24"/>
          <w:szCs w:val="24"/>
        </w:rPr>
        <w:t xml:space="preserve">A historical note on the development of </w:t>
      </w:r>
      <w:proofErr w:type="spellStart"/>
      <w:r w:rsidRPr="00905AE8">
        <w:rPr>
          <w:rFonts w:asciiTheme="majorHAnsi" w:hAnsiTheme="majorHAnsi" w:cs="Courier New"/>
          <w:sz w:val="24"/>
          <w:szCs w:val="24"/>
        </w:rPr>
        <w:t>zimeliden</w:t>
      </w:r>
      <w:proofErr w:type="spellEnd"/>
      <w:r w:rsidRPr="00905AE8">
        <w:rPr>
          <w:rFonts w:asciiTheme="majorHAnsi" w:hAnsiTheme="majorHAnsi" w:cs="Courier New"/>
          <w:sz w:val="24"/>
          <w:szCs w:val="24"/>
        </w:rPr>
        <w:t>, the first selective serotonin reuptake inhibitor.</w:t>
      </w:r>
      <w:proofErr w:type="gramEnd"/>
      <w:r w:rsidRPr="00905AE8">
        <w:rPr>
          <w:rFonts w:asciiTheme="majorHAnsi" w:hAnsiTheme="majorHAnsi" w:cs="Courier New"/>
          <w:sz w:val="24"/>
          <w:szCs w:val="24"/>
        </w:rPr>
        <w:t xml:space="preserve"> </w:t>
      </w:r>
      <w:proofErr w:type="spellStart"/>
      <w:r w:rsidRPr="00905AE8">
        <w:rPr>
          <w:rFonts w:asciiTheme="majorHAnsi" w:hAnsiTheme="majorHAnsi" w:cs="Courier New"/>
          <w:sz w:val="24"/>
          <w:szCs w:val="24"/>
        </w:rPr>
        <w:t>Eur</w:t>
      </w:r>
      <w:proofErr w:type="spellEnd"/>
      <w:r w:rsidRPr="00905AE8">
        <w:rPr>
          <w:rFonts w:asciiTheme="majorHAnsi" w:hAnsiTheme="majorHAnsi" w:cs="Courier New"/>
          <w:sz w:val="24"/>
          <w:szCs w:val="24"/>
        </w:rPr>
        <w:t xml:space="preserve"> J Psych. 1996</w:t>
      </w:r>
      <w:proofErr w:type="gramStart"/>
      <w:r w:rsidRPr="00905AE8">
        <w:rPr>
          <w:rFonts w:asciiTheme="majorHAnsi" w:hAnsiTheme="majorHAnsi" w:cs="Courier New"/>
          <w:sz w:val="24"/>
          <w:szCs w:val="24"/>
        </w:rPr>
        <w:t>;11</w:t>
      </w:r>
      <w:proofErr w:type="gramEnd"/>
      <w:r w:rsidRPr="00905AE8">
        <w:rPr>
          <w:rFonts w:asciiTheme="majorHAnsi" w:hAnsiTheme="majorHAnsi" w:cs="Courier New"/>
          <w:sz w:val="24"/>
          <w:szCs w:val="24"/>
        </w:rPr>
        <w:t>(4):S235-6.</w:t>
      </w:r>
    </w:p>
  </w:endnote>
  <w:endnote w:id="22">
    <w:p w:rsidR="00905AE8" w:rsidRPr="00905AE8" w:rsidRDefault="00905AE8" w:rsidP="00905AE8">
      <w:pPr>
        <w:pStyle w:val="EndnoteText"/>
        <w:ind w:left="1080" w:hanging="360"/>
        <w:rPr>
          <w:rFonts w:asciiTheme="majorHAnsi" w:hAnsiTheme="majorHAnsi" w:cs="Courier New"/>
          <w:sz w:val="24"/>
          <w:szCs w:val="24"/>
        </w:rPr>
      </w:pPr>
      <w:r w:rsidRPr="00905AE8">
        <w:rPr>
          <w:rStyle w:val="EndnoteReference"/>
          <w:rFonts w:asciiTheme="majorHAnsi" w:hAnsiTheme="majorHAnsi" w:cs="Courier New"/>
          <w:sz w:val="24"/>
          <w:szCs w:val="24"/>
        </w:rPr>
        <w:endnoteRef/>
      </w:r>
      <w:r w:rsidRPr="00905AE8">
        <w:rPr>
          <w:rFonts w:asciiTheme="majorHAnsi" w:hAnsiTheme="majorHAnsi" w:cs="Courier New"/>
          <w:sz w:val="24"/>
          <w:szCs w:val="24"/>
        </w:rPr>
        <w:t xml:space="preserve"> Wong DT, Perry KW, </w:t>
      </w:r>
      <w:proofErr w:type="spellStart"/>
      <w:r w:rsidRPr="00905AE8">
        <w:rPr>
          <w:rFonts w:asciiTheme="majorHAnsi" w:hAnsiTheme="majorHAnsi" w:cs="Courier New"/>
          <w:sz w:val="24"/>
          <w:szCs w:val="24"/>
        </w:rPr>
        <w:t>Bymaster</w:t>
      </w:r>
      <w:proofErr w:type="spellEnd"/>
      <w:r w:rsidRPr="00905AE8">
        <w:rPr>
          <w:rFonts w:asciiTheme="majorHAnsi" w:hAnsiTheme="majorHAnsi" w:cs="Courier New"/>
          <w:sz w:val="24"/>
          <w:szCs w:val="24"/>
        </w:rPr>
        <w:t xml:space="preserve"> FP. </w:t>
      </w:r>
      <w:proofErr w:type="gramStart"/>
      <w:r w:rsidRPr="00905AE8">
        <w:rPr>
          <w:rFonts w:asciiTheme="majorHAnsi" w:hAnsiTheme="majorHAnsi" w:cs="Courier New"/>
          <w:sz w:val="24"/>
          <w:szCs w:val="24"/>
        </w:rPr>
        <w:t xml:space="preserve">The discovery of </w:t>
      </w:r>
      <w:proofErr w:type="spellStart"/>
      <w:r w:rsidRPr="00905AE8">
        <w:rPr>
          <w:rFonts w:asciiTheme="majorHAnsi" w:hAnsiTheme="majorHAnsi" w:cs="Courier New"/>
          <w:sz w:val="24"/>
          <w:szCs w:val="24"/>
        </w:rPr>
        <w:t>fluoxetine</w:t>
      </w:r>
      <w:proofErr w:type="spellEnd"/>
      <w:r w:rsidRPr="00905AE8">
        <w:rPr>
          <w:rFonts w:asciiTheme="majorHAnsi" w:hAnsiTheme="majorHAnsi" w:cs="Courier New"/>
          <w:sz w:val="24"/>
          <w:szCs w:val="24"/>
        </w:rPr>
        <w:t xml:space="preserve"> hydrochloride (Prozac).</w:t>
      </w:r>
      <w:proofErr w:type="gramEnd"/>
      <w:r w:rsidRPr="00905AE8">
        <w:rPr>
          <w:rFonts w:asciiTheme="majorHAnsi" w:hAnsiTheme="majorHAnsi" w:cs="Courier New"/>
          <w:sz w:val="24"/>
          <w:szCs w:val="24"/>
        </w:rPr>
        <w:t xml:space="preserve"> </w:t>
      </w:r>
      <w:proofErr w:type="gramStart"/>
      <w:r w:rsidRPr="00905AE8">
        <w:rPr>
          <w:rFonts w:asciiTheme="majorHAnsi" w:eastAsia="Times New Roman" w:hAnsiTheme="majorHAnsi" w:cs="Courier New"/>
          <w:sz w:val="24"/>
          <w:szCs w:val="24"/>
          <w:lang w:eastAsia="en-US"/>
        </w:rPr>
        <w:t xml:space="preserve">Nat Rev Drug </w:t>
      </w:r>
      <w:proofErr w:type="spellStart"/>
      <w:r w:rsidRPr="00905AE8">
        <w:rPr>
          <w:rFonts w:asciiTheme="majorHAnsi" w:eastAsia="Times New Roman" w:hAnsiTheme="majorHAnsi" w:cs="Courier New"/>
          <w:sz w:val="24"/>
          <w:szCs w:val="24"/>
          <w:lang w:eastAsia="en-US"/>
        </w:rPr>
        <w:t>Discov</w:t>
      </w:r>
      <w:proofErr w:type="spellEnd"/>
      <w:r w:rsidRPr="00905AE8">
        <w:rPr>
          <w:rFonts w:asciiTheme="majorHAnsi" w:eastAsia="Times New Roman" w:hAnsiTheme="majorHAnsi" w:cs="Courier New"/>
          <w:sz w:val="24"/>
          <w:szCs w:val="24"/>
          <w:lang w:eastAsia="en-US"/>
        </w:rPr>
        <w:t>.</w:t>
      </w:r>
      <w:proofErr w:type="gramEnd"/>
      <w:r w:rsidRPr="00905AE8">
        <w:rPr>
          <w:rFonts w:asciiTheme="majorHAnsi" w:hAnsiTheme="majorHAnsi" w:cs="Courier New"/>
          <w:sz w:val="24"/>
          <w:szCs w:val="24"/>
        </w:rPr>
        <w:t xml:space="preserve"> 2005</w:t>
      </w:r>
      <w:proofErr w:type="gramStart"/>
      <w:r w:rsidRPr="00905AE8">
        <w:rPr>
          <w:rFonts w:asciiTheme="majorHAnsi" w:hAnsiTheme="majorHAnsi" w:cs="Courier New"/>
          <w:sz w:val="24"/>
          <w:szCs w:val="24"/>
        </w:rPr>
        <w:t>;4:764</w:t>
      </w:r>
      <w:proofErr w:type="gramEnd"/>
      <w:r w:rsidRPr="00905AE8">
        <w:rPr>
          <w:rFonts w:asciiTheme="majorHAnsi" w:hAnsiTheme="majorHAnsi" w:cs="Courier New"/>
          <w:sz w:val="24"/>
          <w:szCs w:val="24"/>
        </w:rPr>
        <w:t>-74.</w:t>
      </w:r>
    </w:p>
  </w:endnote>
  <w:endnote w:id="23">
    <w:p w:rsidR="00905AE8" w:rsidRPr="00905AE8" w:rsidRDefault="00905AE8" w:rsidP="00905AE8">
      <w:pPr>
        <w:pStyle w:val="desc"/>
        <w:shd w:val="clear" w:color="auto" w:fill="FFFFFF"/>
        <w:spacing w:before="0" w:beforeAutospacing="0" w:after="0" w:afterAutospacing="0"/>
        <w:ind w:left="1080" w:hanging="360"/>
        <w:rPr>
          <w:rFonts w:asciiTheme="majorHAnsi" w:hAnsiTheme="majorHAnsi" w:cs="Courier New"/>
        </w:rPr>
      </w:pPr>
      <w:r w:rsidRPr="00905AE8">
        <w:rPr>
          <w:rStyle w:val="EndnoteReference"/>
          <w:rFonts w:asciiTheme="majorHAnsi" w:hAnsiTheme="majorHAnsi" w:cs="Courier New"/>
        </w:rPr>
        <w:endnoteRef/>
      </w:r>
      <w:r w:rsidRPr="00905AE8">
        <w:rPr>
          <w:rFonts w:asciiTheme="majorHAnsi" w:hAnsiTheme="majorHAnsi" w:cs="Courier New"/>
        </w:rPr>
        <w:t xml:space="preserve"> </w:t>
      </w:r>
      <w:r w:rsidRPr="00905AE8">
        <w:rPr>
          <w:rFonts w:asciiTheme="majorHAnsi" w:hAnsiTheme="majorHAnsi" w:cs="Courier New"/>
          <w:bCs/>
          <w:color w:val="000000"/>
        </w:rPr>
        <w:t>Stevens</w:t>
      </w:r>
      <w:r w:rsidRPr="00905AE8">
        <w:rPr>
          <w:rStyle w:val="apple-converted-space"/>
          <w:rFonts w:asciiTheme="majorHAnsi" w:hAnsiTheme="majorHAnsi" w:cs="Courier New"/>
          <w:color w:val="000000"/>
        </w:rPr>
        <w:t> </w:t>
      </w:r>
      <w:r w:rsidRPr="00905AE8">
        <w:rPr>
          <w:rFonts w:asciiTheme="majorHAnsi" w:hAnsiTheme="majorHAnsi" w:cs="Courier New"/>
          <w:color w:val="000000"/>
        </w:rPr>
        <w:t xml:space="preserve">AJ, Jensen JJ, </w:t>
      </w:r>
      <w:proofErr w:type="spellStart"/>
      <w:r w:rsidRPr="00905AE8">
        <w:rPr>
          <w:rFonts w:asciiTheme="majorHAnsi" w:hAnsiTheme="majorHAnsi" w:cs="Courier New"/>
          <w:color w:val="000000"/>
        </w:rPr>
        <w:t>Wyller</w:t>
      </w:r>
      <w:proofErr w:type="spellEnd"/>
      <w:r w:rsidRPr="00905AE8">
        <w:rPr>
          <w:rFonts w:asciiTheme="majorHAnsi" w:hAnsiTheme="majorHAnsi" w:cs="Courier New"/>
          <w:color w:val="000000"/>
        </w:rPr>
        <w:t xml:space="preserve"> K, Kilgore PC, </w:t>
      </w:r>
      <w:proofErr w:type="spellStart"/>
      <w:r w:rsidRPr="00905AE8">
        <w:rPr>
          <w:rFonts w:asciiTheme="majorHAnsi" w:hAnsiTheme="majorHAnsi" w:cs="Courier New"/>
          <w:color w:val="000000"/>
        </w:rPr>
        <w:t>Chatterjee</w:t>
      </w:r>
      <w:proofErr w:type="spellEnd"/>
      <w:r w:rsidRPr="00905AE8">
        <w:rPr>
          <w:rFonts w:asciiTheme="majorHAnsi" w:hAnsiTheme="majorHAnsi" w:cs="Courier New"/>
          <w:color w:val="000000"/>
        </w:rPr>
        <w:t xml:space="preserve"> S,</w:t>
      </w:r>
      <w:r w:rsidRPr="00905AE8">
        <w:rPr>
          <w:rStyle w:val="apple-converted-space"/>
          <w:rFonts w:asciiTheme="majorHAnsi" w:hAnsiTheme="majorHAnsi" w:cs="Courier New"/>
          <w:color w:val="000000"/>
        </w:rPr>
        <w:t> </w:t>
      </w:r>
      <w:r w:rsidRPr="00905AE8">
        <w:rPr>
          <w:rFonts w:asciiTheme="majorHAnsi" w:hAnsiTheme="majorHAnsi" w:cs="Courier New"/>
          <w:bCs/>
          <w:color w:val="000000"/>
        </w:rPr>
        <w:t>Rohrbaugh</w:t>
      </w:r>
      <w:r w:rsidRPr="00905AE8">
        <w:rPr>
          <w:rStyle w:val="apple-converted-space"/>
          <w:rFonts w:asciiTheme="majorHAnsi" w:hAnsiTheme="majorHAnsi" w:cs="Courier New"/>
          <w:color w:val="000000"/>
        </w:rPr>
        <w:t> </w:t>
      </w:r>
      <w:r w:rsidRPr="00905AE8">
        <w:rPr>
          <w:rFonts w:asciiTheme="majorHAnsi" w:hAnsiTheme="majorHAnsi" w:cs="Courier New"/>
          <w:color w:val="000000"/>
        </w:rPr>
        <w:t xml:space="preserve">ML.  </w:t>
      </w:r>
      <w:proofErr w:type="gramStart"/>
      <w:r w:rsidRPr="00905AE8">
        <w:rPr>
          <w:rFonts w:asciiTheme="majorHAnsi" w:hAnsiTheme="majorHAnsi" w:cs="Courier New"/>
          <w:color w:val="000000"/>
        </w:rPr>
        <w:t>The role of public-sector research in the discovery of drugs and vaccines.</w:t>
      </w:r>
      <w:proofErr w:type="gramEnd"/>
      <w:r w:rsidRPr="00905AE8">
        <w:rPr>
          <w:rFonts w:asciiTheme="majorHAnsi" w:hAnsiTheme="majorHAnsi" w:cs="Courier New"/>
          <w:color w:val="000000"/>
        </w:rPr>
        <w:t xml:space="preserve">  </w:t>
      </w:r>
      <w:r w:rsidRPr="00905AE8">
        <w:rPr>
          <w:rStyle w:val="jrnl"/>
          <w:rFonts w:asciiTheme="majorHAnsi" w:hAnsiTheme="majorHAnsi" w:cs="Courier New"/>
          <w:color w:val="000000"/>
        </w:rPr>
        <w:t xml:space="preserve">New </w:t>
      </w:r>
      <w:proofErr w:type="spellStart"/>
      <w:r w:rsidRPr="00905AE8">
        <w:rPr>
          <w:rStyle w:val="jrnl"/>
          <w:rFonts w:asciiTheme="majorHAnsi" w:hAnsiTheme="majorHAnsi" w:cs="Courier New"/>
          <w:color w:val="000000"/>
        </w:rPr>
        <w:t>Engl</w:t>
      </w:r>
      <w:proofErr w:type="spellEnd"/>
      <w:r w:rsidRPr="00905AE8">
        <w:rPr>
          <w:rStyle w:val="jrnl"/>
          <w:rFonts w:asciiTheme="majorHAnsi" w:hAnsiTheme="majorHAnsi" w:cs="Courier New"/>
          <w:color w:val="000000"/>
        </w:rPr>
        <w:t xml:space="preserve"> J Med</w:t>
      </w:r>
      <w:r w:rsidRPr="00905AE8">
        <w:rPr>
          <w:rFonts w:asciiTheme="majorHAnsi" w:hAnsiTheme="majorHAnsi" w:cs="Courier New"/>
          <w:color w:val="000000"/>
        </w:rPr>
        <w:t>. 2011</w:t>
      </w:r>
      <w:proofErr w:type="gramStart"/>
      <w:r w:rsidRPr="00905AE8">
        <w:rPr>
          <w:rFonts w:asciiTheme="majorHAnsi" w:hAnsiTheme="majorHAnsi" w:cs="Courier New"/>
          <w:color w:val="000000"/>
        </w:rPr>
        <w:t>;364</w:t>
      </w:r>
      <w:proofErr w:type="gramEnd"/>
      <w:r w:rsidRPr="00905AE8">
        <w:rPr>
          <w:rFonts w:asciiTheme="majorHAnsi" w:hAnsiTheme="majorHAnsi" w:cs="Courier New"/>
          <w:color w:val="000000"/>
        </w:rPr>
        <w:t>(6):535-41.</w:t>
      </w:r>
    </w:p>
  </w:endnote>
  <w:endnote w:id="24">
    <w:p w:rsidR="00905AE8" w:rsidRPr="00905AE8" w:rsidRDefault="00905AE8" w:rsidP="00905AE8">
      <w:pPr>
        <w:pStyle w:val="desc"/>
        <w:shd w:val="clear" w:color="auto" w:fill="FFFFFF"/>
        <w:spacing w:before="0" w:beforeAutospacing="0" w:after="0" w:afterAutospacing="0"/>
        <w:ind w:left="1080" w:hanging="360"/>
        <w:rPr>
          <w:rFonts w:asciiTheme="majorHAnsi" w:hAnsiTheme="majorHAnsi" w:cs="Courier New"/>
          <w:color w:val="000000"/>
        </w:rPr>
      </w:pPr>
      <w:r w:rsidRPr="00905AE8">
        <w:rPr>
          <w:rStyle w:val="EndnoteReference"/>
          <w:rFonts w:asciiTheme="majorHAnsi" w:hAnsiTheme="majorHAnsi" w:cs="Courier New"/>
        </w:rPr>
        <w:endnoteRef/>
      </w:r>
      <w:r w:rsidRPr="00905AE8">
        <w:rPr>
          <w:rFonts w:asciiTheme="majorHAnsi" w:hAnsiTheme="majorHAnsi" w:cs="Courier New"/>
        </w:rPr>
        <w:t xml:space="preserve"> </w:t>
      </w:r>
      <w:proofErr w:type="spellStart"/>
      <w:r w:rsidRPr="00905AE8">
        <w:rPr>
          <w:rFonts w:asciiTheme="majorHAnsi" w:hAnsiTheme="majorHAnsi" w:cs="Courier New"/>
          <w:color w:val="000000"/>
        </w:rPr>
        <w:t>Lincker</w:t>
      </w:r>
      <w:proofErr w:type="spellEnd"/>
      <w:r w:rsidRPr="00905AE8">
        <w:rPr>
          <w:rFonts w:asciiTheme="majorHAnsi" w:hAnsiTheme="majorHAnsi" w:cs="Courier New"/>
          <w:color w:val="000000"/>
        </w:rPr>
        <w:t xml:space="preserve"> H, </w:t>
      </w:r>
      <w:proofErr w:type="spellStart"/>
      <w:r w:rsidRPr="00905AE8">
        <w:rPr>
          <w:rFonts w:asciiTheme="majorHAnsi" w:hAnsiTheme="majorHAnsi" w:cs="Courier New"/>
          <w:color w:val="000000"/>
        </w:rPr>
        <w:t>Ziogas</w:t>
      </w:r>
      <w:proofErr w:type="spellEnd"/>
      <w:r w:rsidRPr="00905AE8">
        <w:rPr>
          <w:rFonts w:asciiTheme="majorHAnsi" w:hAnsiTheme="majorHAnsi" w:cs="Courier New"/>
          <w:color w:val="000000"/>
        </w:rPr>
        <w:t xml:space="preserve"> C, Carr M, </w:t>
      </w:r>
      <w:proofErr w:type="spellStart"/>
      <w:r w:rsidRPr="00905AE8">
        <w:rPr>
          <w:rFonts w:asciiTheme="majorHAnsi" w:hAnsiTheme="majorHAnsi" w:cs="Courier New"/>
          <w:color w:val="000000"/>
        </w:rPr>
        <w:t>Porta</w:t>
      </w:r>
      <w:proofErr w:type="spellEnd"/>
      <w:r w:rsidRPr="00905AE8">
        <w:rPr>
          <w:rFonts w:asciiTheme="majorHAnsi" w:hAnsiTheme="majorHAnsi" w:cs="Courier New"/>
          <w:color w:val="000000"/>
        </w:rPr>
        <w:t xml:space="preserve"> N,</w:t>
      </w:r>
      <w:r w:rsidRPr="00905AE8">
        <w:rPr>
          <w:rStyle w:val="apple-converted-space"/>
          <w:rFonts w:asciiTheme="majorHAnsi" w:hAnsiTheme="majorHAnsi" w:cs="Courier New"/>
          <w:color w:val="000000"/>
        </w:rPr>
        <w:t> </w:t>
      </w:r>
      <w:proofErr w:type="spellStart"/>
      <w:r w:rsidRPr="00905AE8">
        <w:rPr>
          <w:rFonts w:asciiTheme="majorHAnsi" w:hAnsiTheme="majorHAnsi" w:cs="Courier New"/>
          <w:bCs/>
          <w:color w:val="000000"/>
        </w:rPr>
        <w:t>Eichler</w:t>
      </w:r>
      <w:proofErr w:type="spellEnd"/>
      <w:r w:rsidRPr="00905AE8">
        <w:rPr>
          <w:rFonts w:asciiTheme="majorHAnsi" w:hAnsiTheme="majorHAnsi" w:cs="Courier New"/>
          <w:bCs/>
          <w:color w:val="000000"/>
        </w:rPr>
        <w:t xml:space="preserve"> HG</w:t>
      </w:r>
      <w:r w:rsidRPr="00905AE8">
        <w:rPr>
          <w:rFonts w:asciiTheme="majorHAnsi" w:hAnsiTheme="majorHAnsi" w:cs="Courier New"/>
          <w:color w:val="000000"/>
        </w:rPr>
        <w:t xml:space="preserve">.  Regulatory watch: Where do new medicines originate from in the EU?  </w:t>
      </w:r>
      <w:proofErr w:type="gramStart"/>
      <w:r w:rsidRPr="00905AE8">
        <w:rPr>
          <w:rStyle w:val="jrnl"/>
          <w:rFonts w:asciiTheme="majorHAnsi" w:hAnsiTheme="majorHAnsi" w:cs="Courier New"/>
          <w:color w:val="000000"/>
        </w:rPr>
        <w:t xml:space="preserve">Nat Rev Drug </w:t>
      </w:r>
      <w:proofErr w:type="spellStart"/>
      <w:r w:rsidRPr="00905AE8">
        <w:rPr>
          <w:rStyle w:val="jrnl"/>
          <w:rFonts w:asciiTheme="majorHAnsi" w:hAnsiTheme="majorHAnsi" w:cs="Courier New"/>
          <w:color w:val="000000"/>
        </w:rPr>
        <w:t>Discov</w:t>
      </w:r>
      <w:proofErr w:type="spellEnd"/>
      <w:r w:rsidRPr="00905AE8">
        <w:rPr>
          <w:rFonts w:asciiTheme="majorHAnsi" w:hAnsiTheme="majorHAnsi" w:cs="Courier New"/>
          <w:color w:val="000000"/>
        </w:rPr>
        <w:t>.</w:t>
      </w:r>
      <w:proofErr w:type="gramEnd"/>
      <w:r w:rsidRPr="00905AE8">
        <w:rPr>
          <w:rFonts w:asciiTheme="majorHAnsi" w:hAnsiTheme="majorHAnsi" w:cs="Courier New"/>
          <w:color w:val="000000"/>
        </w:rPr>
        <w:t xml:space="preserve"> 2014</w:t>
      </w:r>
      <w:proofErr w:type="gramStart"/>
      <w:r w:rsidRPr="00905AE8">
        <w:rPr>
          <w:rFonts w:asciiTheme="majorHAnsi" w:hAnsiTheme="majorHAnsi" w:cs="Courier New"/>
          <w:color w:val="000000"/>
        </w:rPr>
        <w:t>;13</w:t>
      </w:r>
      <w:proofErr w:type="gramEnd"/>
      <w:r w:rsidRPr="00905AE8">
        <w:rPr>
          <w:rFonts w:asciiTheme="majorHAnsi" w:hAnsiTheme="majorHAnsi" w:cs="Courier New"/>
          <w:color w:val="000000"/>
        </w:rPr>
        <w:t>(2):92-3.</w:t>
      </w:r>
    </w:p>
  </w:endnote>
  <w:endnote w:id="25">
    <w:p w:rsidR="00905AE8" w:rsidRPr="00905AE8" w:rsidRDefault="00905AE8" w:rsidP="00905AE8">
      <w:pPr>
        <w:pStyle w:val="desc"/>
        <w:shd w:val="clear" w:color="auto" w:fill="FFFFFF"/>
        <w:spacing w:before="0" w:beforeAutospacing="0" w:after="0" w:afterAutospacing="0"/>
        <w:ind w:left="1080" w:hanging="360"/>
        <w:rPr>
          <w:rFonts w:asciiTheme="majorHAnsi" w:hAnsiTheme="majorHAnsi" w:cs="Courier New"/>
          <w:color w:val="000000"/>
        </w:rPr>
      </w:pPr>
      <w:r w:rsidRPr="00905AE8">
        <w:rPr>
          <w:rStyle w:val="EndnoteReference"/>
          <w:rFonts w:asciiTheme="majorHAnsi" w:hAnsiTheme="majorHAnsi" w:cs="Courier New"/>
        </w:rPr>
        <w:endnoteRef/>
      </w:r>
      <w:r w:rsidRPr="00905AE8">
        <w:rPr>
          <w:rFonts w:asciiTheme="majorHAnsi" w:hAnsiTheme="majorHAnsi" w:cs="Courier New"/>
        </w:rPr>
        <w:t xml:space="preserve"> </w:t>
      </w:r>
      <w:r w:rsidRPr="00905AE8">
        <w:rPr>
          <w:rFonts w:asciiTheme="majorHAnsi" w:hAnsiTheme="majorHAnsi" w:cs="Courier New"/>
          <w:color w:val="000000"/>
        </w:rPr>
        <w:t xml:space="preserve">Reichert JM, Milne CP.  </w:t>
      </w:r>
      <w:proofErr w:type="gramStart"/>
      <w:r w:rsidRPr="00905AE8">
        <w:rPr>
          <w:rFonts w:asciiTheme="majorHAnsi" w:hAnsiTheme="majorHAnsi" w:cs="Courier New"/>
          <w:color w:val="000000"/>
        </w:rPr>
        <w:t>Public and private sector contributions to the discovery and development of “impact” drugs.</w:t>
      </w:r>
      <w:proofErr w:type="gramEnd"/>
      <w:r w:rsidRPr="00905AE8">
        <w:rPr>
          <w:rFonts w:asciiTheme="majorHAnsi" w:hAnsiTheme="majorHAnsi" w:cs="Courier New"/>
          <w:color w:val="000000"/>
        </w:rPr>
        <w:t xml:space="preserve"> </w:t>
      </w:r>
      <w:proofErr w:type="gramStart"/>
      <w:r w:rsidRPr="00905AE8">
        <w:rPr>
          <w:rStyle w:val="jrnl"/>
          <w:rFonts w:asciiTheme="majorHAnsi" w:hAnsiTheme="majorHAnsi" w:cs="Courier New"/>
          <w:color w:val="000000"/>
        </w:rPr>
        <w:t xml:space="preserve">Am J </w:t>
      </w:r>
      <w:proofErr w:type="spellStart"/>
      <w:r w:rsidRPr="00905AE8">
        <w:rPr>
          <w:rStyle w:val="jrnl"/>
          <w:rFonts w:asciiTheme="majorHAnsi" w:hAnsiTheme="majorHAnsi" w:cs="Courier New"/>
          <w:color w:val="000000"/>
        </w:rPr>
        <w:t>Ther</w:t>
      </w:r>
      <w:proofErr w:type="spellEnd"/>
      <w:r w:rsidRPr="00905AE8">
        <w:rPr>
          <w:rFonts w:asciiTheme="majorHAnsi" w:hAnsiTheme="majorHAnsi" w:cs="Courier New"/>
          <w:color w:val="000000"/>
        </w:rPr>
        <w:t>.</w:t>
      </w:r>
      <w:proofErr w:type="gramEnd"/>
      <w:r w:rsidRPr="00905AE8">
        <w:rPr>
          <w:rFonts w:asciiTheme="majorHAnsi" w:hAnsiTheme="majorHAnsi" w:cs="Courier New"/>
          <w:color w:val="000000"/>
        </w:rPr>
        <w:t xml:space="preserve"> 2002</w:t>
      </w:r>
      <w:proofErr w:type="gramStart"/>
      <w:r w:rsidRPr="00905AE8">
        <w:rPr>
          <w:rFonts w:asciiTheme="majorHAnsi" w:hAnsiTheme="majorHAnsi" w:cs="Courier New"/>
          <w:color w:val="000000"/>
        </w:rPr>
        <w:t>;9</w:t>
      </w:r>
      <w:proofErr w:type="gramEnd"/>
      <w:r w:rsidRPr="00905AE8">
        <w:rPr>
          <w:rFonts w:asciiTheme="majorHAnsi" w:hAnsiTheme="majorHAnsi" w:cs="Courier New"/>
          <w:color w:val="000000"/>
        </w:rPr>
        <w:t>(6):543-55.</w:t>
      </w:r>
    </w:p>
  </w:endnote>
  <w:endnote w:id="26">
    <w:p w:rsidR="00905AE8" w:rsidRPr="00905AE8" w:rsidRDefault="00905AE8" w:rsidP="00905AE8">
      <w:pPr>
        <w:autoSpaceDE w:val="0"/>
        <w:autoSpaceDN w:val="0"/>
        <w:adjustRightInd w:val="0"/>
        <w:spacing w:after="0" w:line="240" w:lineRule="auto"/>
        <w:ind w:left="1080" w:hanging="360"/>
        <w:rPr>
          <w:rFonts w:asciiTheme="majorHAnsi" w:hAnsiTheme="majorHAnsi" w:cs="Courier New"/>
          <w:sz w:val="24"/>
          <w:szCs w:val="24"/>
        </w:rPr>
      </w:pPr>
      <w:r w:rsidRPr="00905AE8">
        <w:rPr>
          <w:rStyle w:val="EndnoteReference"/>
          <w:rFonts w:asciiTheme="majorHAnsi" w:hAnsiTheme="majorHAnsi" w:cs="Courier New"/>
          <w:sz w:val="24"/>
          <w:szCs w:val="24"/>
        </w:rPr>
        <w:endnoteRef/>
      </w:r>
      <w:r w:rsidRPr="00905AE8">
        <w:rPr>
          <w:rFonts w:asciiTheme="majorHAnsi" w:hAnsiTheme="majorHAnsi" w:cs="Courier New"/>
          <w:sz w:val="24"/>
          <w:szCs w:val="24"/>
        </w:rPr>
        <w:t xml:space="preserve"> </w:t>
      </w:r>
      <w:proofErr w:type="spellStart"/>
      <w:proofErr w:type="gramStart"/>
      <w:r w:rsidRPr="00905AE8">
        <w:rPr>
          <w:rFonts w:asciiTheme="majorHAnsi" w:hAnsiTheme="majorHAnsi" w:cs="Courier New"/>
          <w:sz w:val="24"/>
          <w:szCs w:val="24"/>
        </w:rPr>
        <w:t>Holmer</w:t>
      </w:r>
      <w:proofErr w:type="spellEnd"/>
      <w:r w:rsidRPr="00905AE8">
        <w:rPr>
          <w:rFonts w:asciiTheme="majorHAnsi" w:hAnsiTheme="majorHAnsi" w:cs="Courier New"/>
          <w:sz w:val="24"/>
          <w:szCs w:val="24"/>
        </w:rPr>
        <w:t xml:space="preserve"> AF.</w:t>
      </w:r>
      <w:proofErr w:type="gramEnd"/>
      <w:r w:rsidRPr="00905AE8">
        <w:rPr>
          <w:rFonts w:asciiTheme="majorHAnsi" w:hAnsiTheme="majorHAnsi" w:cs="Courier New"/>
          <w:sz w:val="24"/>
          <w:szCs w:val="24"/>
        </w:rPr>
        <w:t xml:space="preserve">  </w:t>
      </w:r>
      <w:proofErr w:type="gramStart"/>
      <w:r w:rsidRPr="00905AE8">
        <w:rPr>
          <w:rFonts w:asciiTheme="majorHAnsi" w:hAnsiTheme="majorHAnsi" w:cs="Courier New"/>
          <w:sz w:val="24"/>
          <w:szCs w:val="24"/>
        </w:rPr>
        <w:t xml:space="preserve">Testimony by President and CEO of </w:t>
      </w:r>
      <w:proofErr w:type="spellStart"/>
      <w:r w:rsidRPr="00905AE8">
        <w:rPr>
          <w:rFonts w:asciiTheme="majorHAnsi" w:hAnsiTheme="majorHAnsi" w:cs="Courier New"/>
          <w:sz w:val="24"/>
          <w:szCs w:val="24"/>
        </w:rPr>
        <w:t>PhRMA</w:t>
      </w:r>
      <w:proofErr w:type="spellEnd"/>
      <w:r w:rsidRPr="00905AE8">
        <w:rPr>
          <w:rFonts w:asciiTheme="majorHAnsi" w:hAnsiTheme="majorHAnsi" w:cs="Courier New"/>
          <w:sz w:val="24"/>
          <w:szCs w:val="24"/>
        </w:rPr>
        <w:t xml:space="preserve"> on “Drug Safety and Pricing” before the Senate Committee on Health, Education, Labor, and Pensions.</w:t>
      </w:r>
      <w:proofErr w:type="gramEnd"/>
      <w:r w:rsidRPr="00905AE8">
        <w:rPr>
          <w:rFonts w:asciiTheme="majorHAnsi" w:hAnsiTheme="majorHAnsi" w:cs="Courier New"/>
          <w:sz w:val="24"/>
          <w:szCs w:val="24"/>
        </w:rPr>
        <w:t xml:space="preserve">  </w:t>
      </w:r>
      <w:proofErr w:type="gramStart"/>
      <w:r w:rsidRPr="00905AE8">
        <w:rPr>
          <w:rFonts w:asciiTheme="majorHAnsi" w:hAnsiTheme="majorHAnsi" w:cs="Courier New"/>
          <w:sz w:val="24"/>
          <w:szCs w:val="24"/>
        </w:rPr>
        <w:t>Congressional Record, vol. 146, no. 73.</w:t>
      </w:r>
      <w:proofErr w:type="gramEnd"/>
      <w:r w:rsidRPr="00905AE8">
        <w:rPr>
          <w:rFonts w:asciiTheme="majorHAnsi" w:hAnsiTheme="majorHAnsi" w:cs="Courier New"/>
          <w:sz w:val="24"/>
          <w:szCs w:val="24"/>
        </w:rPr>
        <w:t xml:space="preserve"> (13 June 2000).</w:t>
      </w:r>
    </w:p>
  </w:endnote>
  <w:endnote w:id="27">
    <w:p w:rsidR="00905AE8" w:rsidRPr="00905AE8" w:rsidRDefault="00905AE8" w:rsidP="00905AE8">
      <w:pPr>
        <w:pStyle w:val="EndnoteText"/>
        <w:ind w:left="1080" w:hanging="360"/>
        <w:rPr>
          <w:rFonts w:asciiTheme="majorHAnsi" w:hAnsiTheme="majorHAnsi" w:cs="Courier New"/>
          <w:sz w:val="24"/>
          <w:szCs w:val="24"/>
        </w:rPr>
      </w:pPr>
      <w:r w:rsidRPr="00905AE8">
        <w:rPr>
          <w:rStyle w:val="EndnoteReference"/>
          <w:rFonts w:asciiTheme="majorHAnsi" w:hAnsiTheme="majorHAnsi" w:cs="Courier New"/>
          <w:sz w:val="24"/>
          <w:szCs w:val="24"/>
        </w:rPr>
        <w:endnoteRef/>
      </w:r>
      <w:r w:rsidRPr="00905AE8">
        <w:rPr>
          <w:rFonts w:asciiTheme="majorHAnsi" w:hAnsiTheme="majorHAnsi" w:cs="Courier New"/>
          <w:sz w:val="24"/>
          <w:szCs w:val="24"/>
        </w:rPr>
        <w:t xml:space="preserve"> </w:t>
      </w:r>
      <w:proofErr w:type="spellStart"/>
      <w:proofErr w:type="gramStart"/>
      <w:r w:rsidRPr="00905AE8">
        <w:rPr>
          <w:rFonts w:asciiTheme="majorHAnsi" w:hAnsiTheme="majorHAnsi" w:cs="Courier New"/>
          <w:sz w:val="24"/>
          <w:szCs w:val="24"/>
        </w:rPr>
        <w:t>PhRMA</w:t>
      </w:r>
      <w:proofErr w:type="spellEnd"/>
      <w:r w:rsidRPr="00905AE8">
        <w:rPr>
          <w:rFonts w:asciiTheme="majorHAnsi" w:hAnsiTheme="majorHAnsi" w:cs="Courier New"/>
          <w:sz w:val="24"/>
          <w:szCs w:val="24"/>
        </w:rPr>
        <w:t>.</w:t>
      </w:r>
      <w:proofErr w:type="gramEnd"/>
      <w:r w:rsidRPr="00905AE8">
        <w:rPr>
          <w:rFonts w:asciiTheme="majorHAnsi" w:hAnsiTheme="majorHAnsi" w:cs="Courier New"/>
          <w:sz w:val="24"/>
          <w:szCs w:val="24"/>
        </w:rPr>
        <w:t xml:space="preserve"> 2013 profile: biopharmaceutical research i</w:t>
      </w:r>
      <w:r w:rsidR="005850E5">
        <w:rPr>
          <w:rFonts w:asciiTheme="majorHAnsi" w:hAnsiTheme="majorHAnsi" w:cs="Courier New"/>
          <w:sz w:val="24"/>
          <w:szCs w:val="24"/>
        </w:rPr>
        <w:t>ndustry [Internet].  July 2013</w:t>
      </w:r>
      <w:r w:rsidRPr="00905AE8">
        <w:rPr>
          <w:rFonts w:asciiTheme="majorHAnsi" w:hAnsiTheme="majorHAnsi" w:cs="Courier New"/>
          <w:sz w:val="24"/>
          <w:szCs w:val="24"/>
        </w:rPr>
        <w:t>.  Available from: http://www.phrma.org/sites/default/files/pdf/PhRMA%20Profile%202013.pdf.</w:t>
      </w:r>
    </w:p>
  </w:endnote>
  <w:endnote w:id="28">
    <w:p w:rsidR="00905AE8" w:rsidRPr="005850E5" w:rsidRDefault="00905AE8" w:rsidP="00905AE8">
      <w:pPr>
        <w:pStyle w:val="desc"/>
        <w:shd w:val="clear" w:color="auto" w:fill="FFFFFF"/>
        <w:spacing w:before="0" w:beforeAutospacing="0" w:after="0" w:afterAutospacing="0"/>
        <w:ind w:left="1080" w:hanging="360"/>
        <w:rPr>
          <w:rFonts w:asciiTheme="majorHAnsi" w:hAnsiTheme="majorHAnsi" w:cs="Courier New"/>
          <w:color w:val="000000"/>
        </w:rPr>
      </w:pPr>
      <w:r w:rsidRPr="00905AE8">
        <w:rPr>
          <w:rStyle w:val="EndnoteReference"/>
          <w:rFonts w:asciiTheme="majorHAnsi" w:hAnsiTheme="majorHAnsi" w:cs="Courier New"/>
        </w:rPr>
        <w:endnoteRef/>
      </w:r>
      <w:r w:rsidRPr="00905AE8">
        <w:rPr>
          <w:rFonts w:asciiTheme="majorHAnsi" w:hAnsiTheme="majorHAnsi" w:cs="Courier New"/>
        </w:rPr>
        <w:t xml:space="preserve"> </w:t>
      </w:r>
      <w:r w:rsidRPr="00905AE8">
        <w:rPr>
          <w:rFonts w:asciiTheme="majorHAnsi" w:hAnsiTheme="majorHAnsi" w:cs="Courier New"/>
          <w:bCs/>
          <w:color w:val="000000"/>
        </w:rPr>
        <w:t>Light DW</w:t>
      </w:r>
      <w:r w:rsidRPr="00905AE8">
        <w:rPr>
          <w:rFonts w:asciiTheme="majorHAnsi" w:hAnsiTheme="majorHAnsi" w:cs="Courier New"/>
          <w:color w:val="000000"/>
        </w:rPr>
        <w:t xml:space="preserve">, </w:t>
      </w:r>
      <w:proofErr w:type="spellStart"/>
      <w:r w:rsidRPr="00905AE8">
        <w:rPr>
          <w:rFonts w:asciiTheme="majorHAnsi" w:hAnsiTheme="majorHAnsi" w:cs="Courier New"/>
          <w:color w:val="000000"/>
        </w:rPr>
        <w:t>Lexchin</w:t>
      </w:r>
      <w:proofErr w:type="spellEnd"/>
      <w:r w:rsidRPr="00905AE8">
        <w:rPr>
          <w:rFonts w:asciiTheme="majorHAnsi" w:hAnsiTheme="majorHAnsi" w:cs="Courier New"/>
          <w:color w:val="000000"/>
        </w:rPr>
        <w:t xml:space="preserve"> J.  Foreign free riders and the high price of US medicines.  </w:t>
      </w:r>
      <w:proofErr w:type="gramStart"/>
      <w:r w:rsidRPr="00905AE8">
        <w:rPr>
          <w:rStyle w:val="jrnl"/>
          <w:rFonts w:asciiTheme="majorHAnsi" w:hAnsiTheme="majorHAnsi" w:cs="Courier New"/>
          <w:color w:val="000000"/>
        </w:rPr>
        <w:t>BMJ</w:t>
      </w:r>
      <w:r w:rsidRPr="00905AE8">
        <w:rPr>
          <w:rFonts w:asciiTheme="majorHAnsi" w:hAnsiTheme="majorHAnsi" w:cs="Courier New"/>
          <w:color w:val="000000"/>
        </w:rPr>
        <w:t>.</w:t>
      </w:r>
      <w:proofErr w:type="gramEnd"/>
      <w:r w:rsidRPr="00905AE8">
        <w:rPr>
          <w:rFonts w:asciiTheme="majorHAnsi" w:hAnsiTheme="majorHAnsi" w:cs="Courier New"/>
          <w:color w:val="000000"/>
        </w:rPr>
        <w:t xml:space="preserve"> 2005</w:t>
      </w:r>
      <w:proofErr w:type="gramStart"/>
      <w:r w:rsidRPr="00905AE8">
        <w:rPr>
          <w:rFonts w:asciiTheme="majorHAnsi" w:hAnsiTheme="majorHAnsi" w:cs="Courier New"/>
          <w:color w:val="000000"/>
        </w:rPr>
        <w:t>;331</w:t>
      </w:r>
      <w:proofErr w:type="gramEnd"/>
      <w:r w:rsidRPr="00905AE8">
        <w:rPr>
          <w:rFonts w:asciiTheme="majorHAnsi" w:hAnsiTheme="majorHAnsi" w:cs="Courier New"/>
          <w:color w:val="000000"/>
        </w:rPr>
        <w:t>(</w:t>
      </w:r>
      <w:r w:rsidRPr="005850E5">
        <w:rPr>
          <w:rFonts w:asciiTheme="majorHAnsi" w:hAnsiTheme="majorHAnsi" w:cs="Courier New"/>
          <w:color w:val="000000"/>
        </w:rPr>
        <w:t>7522):958-60.</w:t>
      </w:r>
      <w:r w:rsidRPr="005850E5">
        <w:rPr>
          <w:rStyle w:val="apple-converted-space"/>
          <w:rFonts w:asciiTheme="majorHAnsi" w:hAnsiTheme="majorHAnsi" w:cs="Courier New"/>
          <w:color w:val="000000"/>
        </w:rPr>
        <w:t> </w:t>
      </w:r>
    </w:p>
  </w:endnote>
  <w:endnote w:id="29">
    <w:p w:rsidR="00905AE8" w:rsidRPr="005850E5" w:rsidRDefault="00905AE8" w:rsidP="00905AE8">
      <w:pPr>
        <w:pStyle w:val="desc"/>
        <w:shd w:val="clear" w:color="auto" w:fill="FFFFFF"/>
        <w:spacing w:before="0" w:beforeAutospacing="0" w:after="0" w:afterAutospacing="0"/>
        <w:ind w:left="1080" w:hanging="360"/>
        <w:rPr>
          <w:rFonts w:asciiTheme="majorHAnsi" w:hAnsiTheme="majorHAnsi" w:cs="Courier New"/>
          <w:color w:val="000000"/>
        </w:rPr>
      </w:pPr>
      <w:r w:rsidRPr="005850E5">
        <w:rPr>
          <w:rStyle w:val="EndnoteReference"/>
          <w:rFonts w:asciiTheme="majorHAnsi" w:hAnsiTheme="majorHAnsi" w:cs="Courier New"/>
        </w:rPr>
        <w:endnoteRef/>
      </w:r>
      <w:r w:rsidRPr="005850E5">
        <w:rPr>
          <w:rFonts w:asciiTheme="majorHAnsi" w:hAnsiTheme="majorHAnsi" w:cs="Courier New"/>
        </w:rPr>
        <w:t xml:space="preserve"> </w:t>
      </w:r>
      <w:proofErr w:type="spellStart"/>
      <w:r w:rsidRPr="005850E5">
        <w:rPr>
          <w:rFonts w:asciiTheme="majorHAnsi" w:hAnsiTheme="majorHAnsi" w:cs="Courier New"/>
          <w:color w:val="000000"/>
        </w:rPr>
        <w:t>Ramamoorthi</w:t>
      </w:r>
      <w:proofErr w:type="spellEnd"/>
      <w:r w:rsidRPr="005850E5">
        <w:rPr>
          <w:rFonts w:asciiTheme="majorHAnsi" w:hAnsiTheme="majorHAnsi" w:cs="Courier New"/>
          <w:color w:val="000000"/>
        </w:rPr>
        <w:t xml:space="preserve"> R, </w:t>
      </w:r>
      <w:proofErr w:type="spellStart"/>
      <w:r w:rsidRPr="005850E5">
        <w:rPr>
          <w:rFonts w:asciiTheme="majorHAnsi" w:hAnsiTheme="majorHAnsi" w:cs="Courier New"/>
          <w:color w:val="000000"/>
        </w:rPr>
        <w:t>Graef</w:t>
      </w:r>
      <w:proofErr w:type="spellEnd"/>
      <w:r w:rsidRPr="005850E5">
        <w:rPr>
          <w:rFonts w:asciiTheme="majorHAnsi" w:hAnsiTheme="majorHAnsi" w:cs="Courier New"/>
          <w:color w:val="000000"/>
        </w:rPr>
        <w:t xml:space="preserve"> KM, </w:t>
      </w:r>
      <w:proofErr w:type="spellStart"/>
      <w:r w:rsidRPr="005850E5">
        <w:rPr>
          <w:rFonts w:asciiTheme="majorHAnsi" w:hAnsiTheme="majorHAnsi" w:cs="Courier New"/>
          <w:color w:val="000000"/>
        </w:rPr>
        <w:t>Krattiger</w:t>
      </w:r>
      <w:proofErr w:type="spellEnd"/>
      <w:r w:rsidRPr="005850E5">
        <w:rPr>
          <w:rFonts w:asciiTheme="majorHAnsi" w:hAnsiTheme="majorHAnsi" w:cs="Courier New"/>
          <w:color w:val="000000"/>
        </w:rPr>
        <w:t xml:space="preserve"> A, Dent JC.  WIPO</w:t>
      </w:r>
      <w:r w:rsidRPr="005850E5">
        <w:rPr>
          <w:rStyle w:val="apple-converted-space"/>
          <w:rFonts w:asciiTheme="majorHAnsi" w:hAnsiTheme="majorHAnsi" w:cs="Courier New"/>
          <w:color w:val="642A8F"/>
          <w:u w:val="single"/>
        </w:rPr>
        <w:t> </w:t>
      </w:r>
      <w:proofErr w:type="spellStart"/>
      <w:r w:rsidRPr="005850E5">
        <w:rPr>
          <w:rFonts w:asciiTheme="majorHAnsi" w:hAnsiTheme="majorHAnsi" w:cs="Courier New"/>
          <w:color w:val="000000"/>
        </w:rPr>
        <w:t>Re</w:t>
      </w:r>
      <w:proofErr w:type="gramStart"/>
      <w:r w:rsidRPr="005850E5">
        <w:rPr>
          <w:rFonts w:asciiTheme="majorHAnsi" w:hAnsiTheme="majorHAnsi" w:cs="Courier New"/>
          <w:color w:val="000000"/>
        </w:rPr>
        <w:t>:Search</w:t>
      </w:r>
      <w:proofErr w:type="spellEnd"/>
      <w:proofErr w:type="gramEnd"/>
      <w:r w:rsidRPr="005850E5">
        <w:rPr>
          <w:rFonts w:asciiTheme="majorHAnsi" w:hAnsiTheme="majorHAnsi" w:cs="Courier New"/>
          <w:color w:val="000000"/>
        </w:rPr>
        <w:t xml:space="preserve">: catalyzing collaborations to accelerate product development for diseases of poverty.  </w:t>
      </w:r>
      <w:proofErr w:type="spellStart"/>
      <w:r w:rsidRPr="005850E5">
        <w:rPr>
          <w:rStyle w:val="jrnl"/>
          <w:rFonts w:asciiTheme="majorHAnsi" w:hAnsiTheme="majorHAnsi" w:cs="Courier New"/>
          <w:color w:val="000000"/>
        </w:rPr>
        <w:t>Chem</w:t>
      </w:r>
      <w:proofErr w:type="spellEnd"/>
      <w:r w:rsidRPr="005850E5">
        <w:rPr>
          <w:rStyle w:val="jrnl"/>
          <w:rFonts w:asciiTheme="majorHAnsi" w:hAnsiTheme="majorHAnsi" w:cs="Courier New"/>
          <w:color w:val="000000"/>
        </w:rPr>
        <w:t xml:space="preserve"> Rev</w:t>
      </w:r>
      <w:r w:rsidRPr="005850E5">
        <w:rPr>
          <w:rFonts w:asciiTheme="majorHAnsi" w:hAnsiTheme="majorHAnsi" w:cs="Courier New"/>
          <w:color w:val="000000"/>
        </w:rPr>
        <w:t>. 20</w:t>
      </w:r>
      <w:r w:rsidR="005850E5" w:rsidRPr="005850E5">
        <w:rPr>
          <w:rFonts w:asciiTheme="majorHAnsi" w:hAnsiTheme="majorHAnsi" w:cs="Courier New"/>
          <w:color w:val="000000"/>
        </w:rPr>
        <w:t>14</w:t>
      </w:r>
      <w:proofErr w:type="gramStart"/>
      <w:r w:rsidR="005850E5" w:rsidRPr="005850E5">
        <w:rPr>
          <w:rFonts w:asciiTheme="majorHAnsi" w:hAnsiTheme="majorHAnsi" w:cs="Courier New"/>
          <w:color w:val="000000"/>
        </w:rPr>
        <w:t>;</w:t>
      </w:r>
      <w:r w:rsidR="005850E5" w:rsidRPr="005850E5">
        <w:rPr>
          <w:rStyle w:val="citationvolume"/>
          <w:rFonts w:asciiTheme="majorHAnsi" w:hAnsiTheme="majorHAnsi"/>
          <w:color w:val="000000"/>
          <w:shd w:val="clear" w:color="auto" w:fill="FFFFFF"/>
        </w:rPr>
        <w:t>114</w:t>
      </w:r>
      <w:proofErr w:type="gramEnd"/>
      <w:r w:rsidR="005850E5" w:rsidRPr="005850E5">
        <w:rPr>
          <w:rStyle w:val="apple-converted-space"/>
          <w:rFonts w:asciiTheme="majorHAnsi" w:hAnsiTheme="majorHAnsi"/>
          <w:color w:val="000000"/>
          <w:shd w:val="clear" w:color="auto" w:fill="FFFFFF"/>
        </w:rPr>
        <w:t> </w:t>
      </w:r>
      <w:r w:rsidR="005850E5" w:rsidRPr="005850E5">
        <w:rPr>
          <w:rFonts w:asciiTheme="majorHAnsi" w:hAnsiTheme="majorHAnsi"/>
          <w:color w:val="000000"/>
          <w:shd w:val="clear" w:color="auto" w:fill="FFFFFF"/>
        </w:rPr>
        <w:t>(22):11272–11279.</w:t>
      </w:r>
    </w:p>
  </w:endnote>
  <w:endnote w:id="30">
    <w:p w:rsidR="00905AE8" w:rsidRPr="00905AE8" w:rsidRDefault="00905AE8" w:rsidP="00905AE8">
      <w:pPr>
        <w:pStyle w:val="EndnoteText"/>
        <w:ind w:left="1080" w:hanging="360"/>
        <w:rPr>
          <w:rFonts w:asciiTheme="majorHAnsi" w:hAnsiTheme="majorHAnsi" w:cs="Courier New"/>
          <w:sz w:val="24"/>
          <w:szCs w:val="24"/>
        </w:rPr>
      </w:pPr>
      <w:r w:rsidRPr="005850E5">
        <w:rPr>
          <w:rStyle w:val="EndnoteReference"/>
          <w:rFonts w:asciiTheme="majorHAnsi" w:hAnsiTheme="majorHAnsi" w:cs="Courier New"/>
          <w:sz w:val="24"/>
          <w:szCs w:val="24"/>
        </w:rPr>
        <w:endnoteRef/>
      </w:r>
      <w:r w:rsidRPr="005850E5">
        <w:rPr>
          <w:rFonts w:asciiTheme="majorHAnsi" w:hAnsiTheme="majorHAnsi" w:cs="Courier New"/>
          <w:sz w:val="24"/>
          <w:szCs w:val="24"/>
        </w:rPr>
        <w:t xml:space="preserve"> NIH tries a new approach to speed drug development.  </w:t>
      </w:r>
      <w:proofErr w:type="gramStart"/>
      <w:r w:rsidRPr="005850E5">
        <w:rPr>
          <w:rFonts w:asciiTheme="majorHAnsi" w:hAnsiTheme="majorHAnsi" w:cs="Courier New"/>
          <w:sz w:val="24"/>
          <w:szCs w:val="24"/>
        </w:rPr>
        <w:t>Washington Post.</w:t>
      </w:r>
      <w:proofErr w:type="gramEnd"/>
      <w:r w:rsidRPr="005850E5">
        <w:rPr>
          <w:rFonts w:asciiTheme="majorHAnsi" w:hAnsiTheme="majorHAnsi" w:cs="Courier New"/>
          <w:sz w:val="24"/>
          <w:szCs w:val="24"/>
        </w:rPr>
        <w:t xml:space="preserve"> </w:t>
      </w:r>
      <w:proofErr w:type="gramStart"/>
      <w:r w:rsidRPr="005850E5">
        <w:rPr>
          <w:rFonts w:asciiTheme="majorHAnsi" w:hAnsiTheme="majorHAnsi" w:cs="Courier New"/>
          <w:sz w:val="24"/>
          <w:szCs w:val="24"/>
        </w:rPr>
        <w:t>2014 February 8.</w:t>
      </w:r>
      <w:proofErr w:type="gramEnd"/>
      <w:r w:rsidRPr="005850E5">
        <w:rPr>
          <w:rFonts w:asciiTheme="majorHAnsi" w:hAnsiTheme="majorHAnsi" w:cs="Courier New"/>
          <w:sz w:val="24"/>
          <w:szCs w:val="24"/>
        </w:rPr>
        <w:t xml:space="preserve">  Available from: http://www.washingtonpost.com/opinions/nih-tries-a-new-approach-to-speed-drug-development</w:t>
      </w:r>
      <w:r w:rsidRPr="00905AE8">
        <w:rPr>
          <w:rFonts w:asciiTheme="majorHAnsi" w:hAnsiTheme="majorHAnsi" w:cs="Courier New"/>
          <w:sz w:val="24"/>
          <w:szCs w:val="24"/>
        </w:rPr>
        <w:t>/2014/02/08/bf30ba18-8ea1-11e3-b227-12a45d109e03_story.html.</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6241680"/>
      <w:docPartObj>
        <w:docPartGallery w:val="Page Numbers (Bottom of Page)"/>
        <w:docPartUnique/>
      </w:docPartObj>
    </w:sdtPr>
    <w:sdtContent>
      <w:p w:rsidR="00905AE8" w:rsidRDefault="00905AE8">
        <w:pPr>
          <w:pStyle w:val="Footer"/>
          <w:jc w:val="center"/>
        </w:pPr>
        <w:r w:rsidRPr="007367F6">
          <w:rPr>
            <w:rFonts w:ascii="Times New Roman" w:hAnsi="Times New Roman" w:cs="Times New Roman"/>
            <w:sz w:val="24"/>
            <w:szCs w:val="24"/>
          </w:rPr>
          <w:fldChar w:fldCharType="begin"/>
        </w:r>
        <w:r w:rsidRPr="007367F6">
          <w:rPr>
            <w:rFonts w:ascii="Times New Roman" w:hAnsi="Times New Roman" w:cs="Times New Roman"/>
            <w:sz w:val="24"/>
            <w:szCs w:val="24"/>
          </w:rPr>
          <w:instrText xml:space="preserve"> PAGE   \* MERGEFORMAT </w:instrText>
        </w:r>
        <w:r w:rsidRPr="007367F6">
          <w:rPr>
            <w:rFonts w:ascii="Times New Roman" w:hAnsi="Times New Roman" w:cs="Times New Roman"/>
            <w:sz w:val="24"/>
            <w:szCs w:val="24"/>
          </w:rPr>
          <w:fldChar w:fldCharType="separate"/>
        </w:r>
        <w:r w:rsidR="00EF0841">
          <w:rPr>
            <w:rFonts w:ascii="Times New Roman" w:hAnsi="Times New Roman" w:cs="Times New Roman"/>
            <w:noProof/>
            <w:sz w:val="24"/>
            <w:szCs w:val="24"/>
          </w:rPr>
          <w:t>5</w:t>
        </w:r>
        <w:r w:rsidRPr="007367F6">
          <w:rPr>
            <w:rFonts w:ascii="Times New Roman" w:hAnsi="Times New Roman" w:cs="Times New Roman"/>
            <w:sz w:val="24"/>
            <w:szCs w:val="24"/>
          </w:rPr>
          <w:fldChar w:fldCharType="end"/>
        </w:r>
      </w:p>
    </w:sdtContent>
  </w:sdt>
  <w:p w:rsidR="00905AE8" w:rsidRPr="00477393" w:rsidRDefault="00905AE8" w:rsidP="00477393">
    <w:pPr>
      <w:pStyle w:val="Footer"/>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E8" w:rsidRPr="00DF5EFF" w:rsidRDefault="00905AE8" w:rsidP="00F642B1">
    <w:pPr>
      <w:pStyle w:val="Footer"/>
      <w:jc w:val="center"/>
      <w:rPr>
        <w:rFonts w:ascii="Times New Roman" w:hAnsi="Times New Roman" w:cs="Times New Roman"/>
        <w:i/>
        <w:iCs/>
        <w:sz w:val="24"/>
        <w:szCs w:val="24"/>
      </w:rPr>
    </w:pPr>
    <w:r w:rsidRPr="00DF5EFF">
      <w:rPr>
        <w:rFonts w:ascii="Times New Roman" w:hAnsi="Times New Roman" w:cs="Times New Roman"/>
        <w:i/>
        <w:iCs/>
        <w:sz w:val="24"/>
        <w:szCs w:val="24"/>
      </w:rPr>
      <w:t>1620 Tremont Street • Suite 3030 • Boston MA 02120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440" w:rsidRDefault="00415440" w:rsidP="00225F03">
      <w:pPr>
        <w:spacing w:after="0" w:line="240" w:lineRule="auto"/>
      </w:pPr>
      <w:r>
        <w:separator/>
      </w:r>
    </w:p>
  </w:footnote>
  <w:footnote w:type="continuationSeparator" w:id="0">
    <w:p w:rsidR="00415440" w:rsidRDefault="00415440" w:rsidP="00225F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E8" w:rsidRDefault="00905AE8">
    <w:pPr>
      <w:pStyle w:val="Header"/>
    </w:pPr>
  </w:p>
  <w:p w:rsidR="00905AE8" w:rsidRDefault="00905AE8">
    <w:pPr>
      <w:pStyle w:val="Header"/>
    </w:pPr>
  </w:p>
  <w:p w:rsidR="00905AE8" w:rsidRDefault="00905AE8">
    <w:pPr>
      <w:pStyle w:val="Header"/>
    </w:pPr>
  </w:p>
  <w:p w:rsidR="00905AE8" w:rsidRDefault="00905A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E8" w:rsidRDefault="00905AE8" w:rsidP="00993B74">
    <w:pPr>
      <w:pStyle w:val="Header"/>
      <w:spacing w:after="120"/>
    </w:pPr>
    <w:r>
      <w:rPr>
        <w:noProof/>
        <w:lang w:eastAsia="zh-TW"/>
      </w:rPr>
      <w:pict>
        <v:shapetype id="_x0000_t202" coordsize="21600,21600" o:spt="202" path="m,l,21600r21600,l21600,xe">
          <v:stroke joinstyle="miter"/>
          <v:path gradientshapeok="t" o:connecttype="rect"/>
        </v:shapetype>
        <v:shape id="_x0000_s2049" type="#_x0000_t202" style="position:absolute;margin-left:56.3pt;margin-top:6.05pt;width:392.95pt;height:50.6pt;z-index:251662336;mso-width-relative:margin;mso-height-relative:margin" filled="f" stroked="f">
          <v:textbox style="mso-next-textbox:#_x0000_s2049">
            <w:txbxContent>
              <w:p w:rsidR="00905AE8" w:rsidRPr="00993B74" w:rsidRDefault="00905AE8" w:rsidP="00F642B1">
                <w:pPr>
                  <w:spacing w:after="0" w:line="240" w:lineRule="auto"/>
                  <w:jc w:val="center"/>
                  <w:rPr>
                    <w:rFonts w:ascii="Lucida Bright" w:hAnsi="Lucida Bright" w:cs="Times New Roman"/>
                    <w:b/>
                    <w:sz w:val="28"/>
                    <w:szCs w:val="28"/>
                  </w:rPr>
                </w:pPr>
                <w:r w:rsidRPr="00993B74">
                  <w:rPr>
                    <w:rFonts w:ascii="Lucida Bright" w:hAnsi="Lucida Bright" w:cs="Times New Roman"/>
                    <w:b/>
                    <w:sz w:val="28"/>
                    <w:szCs w:val="28"/>
                  </w:rPr>
                  <w:t>PORTAL</w:t>
                </w:r>
              </w:p>
              <w:p w:rsidR="00905AE8" w:rsidRPr="00993B74" w:rsidRDefault="00905AE8" w:rsidP="00F642B1">
                <w:pPr>
                  <w:jc w:val="center"/>
                  <w:rPr>
                    <w:rFonts w:ascii="Lucida Bright" w:hAnsi="Lucida Bright" w:cs="Times New Roman"/>
                    <w:b/>
                    <w:sz w:val="28"/>
                    <w:szCs w:val="28"/>
                  </w:rPr>
                </w:pPr>
                <w:r w:rsidRPr="00993B74">
                  <w:rPr>
                    <w:rFonts w:ascii="Lucida Bright" w:hAnsi="Lucida Bright" w:cs="Times New Roman"/>
                    <w:b/>
                    <w:sz w:val="28"/>
                    <w:szCs w:val="28"/>
                  </w:rPr>
                  <w:t xml:space="preserve">Program on Regulation, Therapeutics, </w:t>
                </w:r>
                <w:proofErr w:type="gramStart"/>
                <w:r w:rsidRPr="00993B74">
                  <w:rPr>
                    <w:rFonts w:ascii="Lucida Bright" w:hAnsi="Lucida Bright" w:cs="Times New Roman"/>
                    <w:b/>
                    <w:sz w:val="28"/>
                    <w:szCs w:val="28"/>
                  </w:rPr>
                  <w:t>And</w:t>
                </w:r>
                <w:proofErr w:type="gramEnd"/>
                <w:r w:rsidRPr="00993B74">
                  <w:rPr>
                    <w:rFonts w:ascii="Lucida Bright" w:hAnsi="Lucida Bright" w:cs="Times New Roman"/>
                    <w:b/>
                    <w:sz w:val="28"/>
                    <w:szCs w:val="28"/>
                  </w:rPr>
                  <w:t xml:space="preserve"> Law</w:t>
                </w:r>
              </w:p>
            </w:txbxContent>
          </v:textbox>
        </v:shape>
      </w:pict>
    </w:r>
    <w:r w:rsidRPr="00B33580">
      <w:rPr>
        <w:noProof/>
        <w:lang w:bidi="or-IN"/>
      </w:rPr>
      <w:drawing>
        <wp:inline distT="0" distB="0" distL="0" distR="0">
          <wp:extent cx="695325" cy="695325"/>
          <wp:effectExtent l="19050" t="0" r="9525" b="0"/>
          <wp:docPr id="11" name="Picture 0" descr="Portal Image jpg TT (use th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l Image jpg TT (use this).jpg"/>
                  <pic:cNvPicPr/>
                </pic:nvPicPr>
                <pic:blipFill>
                  <a:blip r:embed="rId1"/>
                  <a:stretch>
                    <a:fillRect/>
                  </a:stretch>
                </pic:blipFill>
                <pic:spPr>
                  <a:xfrm>
                    <a:off x="0" y="0"/>
                    <a:ext cx="695325" cy="695325"/>
                  </a:xfrm>
                  <a:prstGeom prst="rect">
                    <a:avLst/>
                  </a:prstGeom>
                  <a:ln>
                    <a:noFill/>
                  </a:ln>
                </pic:spPr>
              </pic:pic>
            </a:graphicData>
          </a:graphic>
        </wp:inline>
      </w:drawing>
    </w:r>
    <w:r>
      <w:rPr>
        <w:noProof/>
      </w:rPr>
      <w:t xml:space="preserve">                                                                                                                                                            </w:t>
    </w:r>
    <w:r w:rsidRPr="00B33580">
      <w:rPr>
        <w:noProof/>
        <w:lang w:bidi="or-IN"/>
      </w:rPr>
      <w:drawing>
        <wp:inline distT="0" distB="0" distL="0" distR="0">
          <wp:extent cx="552450" cy="647700"/>
          <wp:effectExtent l="19050" t="0" r="0" b="0"/>
          <wp:docPr id="12" name="Picture 3" descr="G:\TilPE\Harvard logo [Converted].jpg"/>
          <wp:cNvGraphicFramePr/>
          <a:graphic xmlns:a="http://schemas.openxmlformats.org/drawingml/2006/main">
            <a:graphicData uri="http://schemas.openxmlformats.org/drawingml/2006/picture">
              <pic:pic xmlns:pic="http://schemas.openxmlformats.org/drawingml/2006/picture">
                <pic:nvPicPr>
                  <pic:cNvPr id="3105" name="Picture 3812" descr="G:\TilPE\Harvard logo [Converted].jpg"/>
                  <pic:cNvPicPr>
                    <a:picLocks noChangeAspect="1" noChangeArrowheads="1"/>
                  </pic:cNvPicPr>
                </pic:nvPicPr>
                <pic:blipFill>
                  <a:blip r:embed="rId2"/>
                  <a:srcRect l="44118" t="37836" r="45647" b="53114"/>
                  <a:stretch>
                    <a:fillRect/>
                  </a:stretch>
                </pic:blipFill>
                <pic:spPr bwMode="auto">
                  <a:xfrm>
                    <a:off x="0" y="0"/>
                    <a:ext cx="552450" cy="647700"/>
                  </a:xfrm>
                  <a:prstGeom prst="rect">
                    <a:avLst/>
                  </a:prstGeom>
                  <a:noFill/>
                  <a:ln w="9525">
                    <a:noFill/>
                    <a:miter lim="800000"/>
                    <a:headEnd/>
                    <a:tailEnd/>
                  </a:ln>
                </pic:spPr>
              </pic:pic>
            </a:graphicData>
          </a:graphic>
        </wp:inline>
      </w:drawing>
    </w:r>
    <w:r>
      <w:rPr>
        <w:noProof/>
        <w:lang w:bidi="or-IN"/>
      </w:rPr>
      <w:drawing>
        <wp:inline distT="0" distB="0" distL="0" distR="0">
          <wp:extent cx="590462" cy="647700"/>
          <wp:effectExtent l="19050" t="0" r="88" b="0"/>
          <wp:docPr id="13" name="Picture 1" descr="C:\Users\az234\AppData\Local\Microsoft\Windows\Temporary Internet Files\Content.Outlook\FH2EGMVB\BW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234\AppData\Local\Microsoft\Windows\Temporary Internet Files\Content.Outlook\FH2EGMVB\BWH.PNG"/>
                  <pic:cNvPicPr>
                    <a:picLocks noChangeAspect="1" noChangeArrowheads="1"/>
                  </pic:cNvPicPr>
                </pic:nvPicPr>
                <pic:blipFill>
                  <a:blip r:embed="rId3"/>
                  <a:srcRect/>
                  <a:stretch>
                    <a:fillRect/>
                  </a:stretch>
                </pic:blipFill>
                <pic:spPr bwMode="auto">
                  <a:xfrm>
                    <a:off x="0" y="0"/>
                    <a:ext cx="590462" cy="647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7FA3"/>
    <w:multiLevelType w:val="hybridMultilevel"/>
    <w:tmpl w:val="E3D4D2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numFmt w:val="decimal"/>
    <w:endnote w:id="-1"/>
    <w:endnote w:id="0"/>
  </w:endnotePr>
  <w:compat/>
  <w:rsids>
    <w:rsidRoot w:val="00225F03"/>
    <w:rsid w:val="00001BE7"/>
    <w:rsid w:val="0001279A"/>
    <w:rsid w:val="000555C3"/>
    <w:rsid w:val="00130030"/>
    <w:rsid w:val="0013188D"/>
    <w:rsid w:val="001433AA"/>
    <w:rsid w:val="001629AF"/>
    <w:rsid w:val="001B2765"/>
    <w:rsid w:val="001F10A7"/>
    <w:rsid w:val="0020268D"/>
    <w:rsid w:val="0021572B"/>
    <w:rsid w:val="00225F03"/>
    <w:rsid w:val="00232635"/>
    <w:rsid w:val="002528C6"/>
    <w:rsid w:val="00291951"/>
    <w:rsid w:val="00333C53"/>
    <w:rsid w:val="003437BF"/>
    <w:rsid w:val="00363C7B"/>
    <w:rsid w:val="004129F7"/>
    <w:rsid w:val="00415440"/>
    <w:rsid w:val="004174B7"/>
    <w:rsid w:val="00462A03"/>
    <w:rsid w:val="004744B4"/>
    <w:rsid w:val="00477393"/>
    <w:rsid w:val="0056649F"/>
    <w:rsid w:val="005850E5"/>
    <w:rsid w:val="00586DC1"/>
    <w:rsid w:val="005A399D"/>
    <w:rsid w:val="005A6520"/>
    <w:rsid w:val="005F3965"/>
    <w:rsid w:val="0064584A"/>
    <w:rsid w:val="00686269"/>
    <w:rsid w:val="006C5DD4"/>
    <w:rsid w:val="006F30E0"/>
    <w:rsid w:val="007323B1"/>
    <w:rsid w:val="007367F6"/>
    <w:rsid w:val="00767BF8"/>
    <w:rsid w:val="007805E9"/>
    <w:rsid w:val="008144A0"/>
    <w:rsid w:val="0082060F"/>
    <w:rsid w:val="008279AB"/>
    <w:rsid w:val="00834CFA"/>
    <w:rsid w:val="009027CF"/>
    <w:rsid w:val="00905AE8"/>
    <w:rsid w:val="00906DFC"/>
    <w:rsid w:val="009404B2"/>
    <w:rsid w:val="00951C92"/>
    <w:rsid w:val="00964284"/>
    <w:rsid w:val="00993B74"/>
    <w:rsid w:val="00A20F93"/>
    <w:rsid w:val="00A35C47"/>
    <w:rsid w:val="00A4398D"/>
    <w:rsid w:val="00AE2268"/>
    <w:rsid w:val="00AE735C"/>
    <w:rsid w:val="00B204E0"/>
    <w:rsid w:val="00B33580"/>
    <w:rsid w:val="00B5071E"/>
    <w:rsid w:val="00B96DDF"/>
    <w:rsid w:val="00CA4814"/>
    <w:rsid w:val="00D85D55"/>
    <w:rsid w:val="00DA5F55"/>
    <w:rsid w:val="00DC26E0"/>
    <w:rsid w:val="00DF5EFF"/>
    <w:rsid w:val="00E367CB"/>
    <w:rsid w:val="00E70384"/>
    <w:rsid w:val="00E81184"/>
    <w:rsid w:val="00EA6A27"/>
    <w:rsid w:val="00EF0841"/>
    <w:rsid w:val="00F642B1"/>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8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5F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5F03"/>
  </w:style>
  <w:style w:type="paragraph" w:styleId="Footer">
    <w:name w:val="footer"/>
    <w:basedOn w:val="Normal"/>
    <w:link w:val="FooterChar"/>
    <w:uiPriority w:val="99"/>
    <w:unhideWhenUsed/>
    <w:rsid w:val="00225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F03"/>
  </w:style>
  <w:style w:type="paragraph" w:styleId="BalloonText">
    <w:name w:val="Balloon Text"/>
    <w:basedOn w:val="Normal"/>
    <w:link w:val="BalloonTextChar"/>
    <w:uiPriority w:val="99"/>
    <w:semiHidden/>
    <w:unhideWhenUsed/>
    <w:rsid w:val="00225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F03"/>
    <w:rPr>
      <w:rFonts w:ascii="Tahoma" w:hAnsi="Tahoma" w:cs="Tahoma"/>
      <w:sz w:val="16"/>
      <w:szCs w:val="16"/>
    </w:rPr>
  </w:style>
  <w:style w:type="character" w:styleId="Hyperlink">
    <w:name w:val="Hyperlink"/>
    <w:basedOn w:val="DefaultParagraphFont"/>
    <w:uiPriority w:val="99"/>
    <w:unhideWhenUsed/>
    <w:rsid w:val="00D85D55"/>
    <w:rPr>
      <w:color w:val="0000FF" w:themeColor="hyperlink"/>
      <w:u w:val="single"/>
    </w:rPr>
  </w:style>
  <w:style w:type="paragraph" w:customStyle="1" w:styleId="Default">
    <w:name w:val="Default"/>
    <w:rsid w:val="00477393"/>
    <w:pPr>
      <w:autoSpaceDE w:val="0"/>
      <w:autoSpaceDN w:val="0"/>
      <w:adjustRightInd w:val="0"/>
      <w:spacing w:after="0" w:line="240" w:lineRule="auto"/>
    </w:pPr>
    <w:rPr>
      <w:rFonts w:ascii="Cambria" w:eastAsia="Times New Roman" w:hAnsi="Cambria" w:cs="Cambria"/>
      <w:color w:val="000000"/>
      <w:sz w:val="24"/>
      <w:szCs w:val="24"/>
    </w:rPr>
  </w:style>
  <w:style w:type="paragraph" w:styleId="EndnoteText">
    <w:name w:val="endnote text"/>
    <w:basedOn w:val="Normal"/>
    <w:link w:val="EndnoteTextChar"/>
    <w:rsid w:val="008144A0"/>
    <w:pPr>
      <w:spacing w:after="0" w:line="240" w:lineRule="auto"/>
    </w:pPr>
    <w:rPr>
      <w:rFonts w:ascii="Times New Roman" w:eastAsia="MS Mincho" w:hAnsi="Times New Roman" w:cs="Times New Roman"/>
      <w:sz w:val="20"/>
      <w:szCs w:val="20"/>
      <w:lang w:eastAsia="ja-JP"/>
    </w:rPr>
  </w:style>
  <w:style w:type="character" w:customStyle="1" w:styleId="EndnoteTextChar">
    <w:name w:val="Endnote Text Char"/>
    <w:basedOn w:val="DefaultParagraphFont"/>
    <w:link w:val="EndnoteText"/>
    <w:rsid w:val="008144A0"/>
    <w:rPr>
      <w:rFonts w:ascii="Times New Roman" w:eastAsia="MS Mincho" w:hAnsi="Times New Roman" w:cs="Times New Roman"/>
      <w:sz w:val="20"/>
      <w:szCs w:val="20"/>
      <w:lang w:eastAsia="ja-JP"/>
    </w:rPr>
  </w:style>
  <w:style w:type="character" w:styleId="EndnoteReference">
    <w:name w:val="endnote reference"/>
    <w:basedOn w:val="DefaultParagraphFont"/>
    <w:rsid w:val="008144A0"/>
    <w:rPr>
      <w:vertAlign w:val="superscript"/>
    </w:rPr>
  </w:style>
  <w:style w:type="character" w:customStyle="1" w:styleId="apple-converted-space">
    <w:name w:val="apple-converted-space"/>
    <w:basedOn w:val="DefaultParagraphFont"/>
    <w:rsid w:val="008144A0"/>
  </w:style>
  <w:style w:type="paragraph" w:customStyle="1" w:styleId="desc">
    <w:name w:val="desc"/>
    <w:basedOn w:val="Normal"/>
    <w:rsid w:val="00814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8144A0"/>
  </w:style>
  <w:style w:type="character" w:customStyle="1" w:styleId="nlmsource">
    <w:name w:val="nlm_source"/>
    <w:basedOn w:val="DefaultParagraphFont"/>
    <w:rsid w:val="008144A0"/>
  </w:style>
  <w:style w:type="character" w:customStyle="1" w:styleId="citationyear">
    <w:name w:val="citation_year"/>
    <w:basedOn w:val="DefaultParagraphFont"/>
    <w:rsid w:val="005850E5"/>
  </w:style>
  <w:style w:type="character" w:customStyle="1" w:styleId="citationvolume">
    <w:name w:val="citation_volume"/>
    <w:basedOn w:val="DefaultParagraphFont"/>
    <w:rsid w:val="005850E5"/>
  </w:style>
  <w:style w:type="paragraph" w:customStyle="1" w:styleId="title1">
    <w:name w:val="title1"/>
    <w:basedOn w:val="Normal"/>
    <w:rsid w:val="006F30E0"/>
    <w:pPr>
      <w:spacing w:before="100" w:beforeAutospacing="1" w:after="0" w:line="240" w:lineRule="auto"/>
      <w:ind w:left="825"/>
    </w:pPr>
    <w:rPr>
      <w:rFonts w:ascii="Times New Roman" w:eastAsia="Times New Roman" w:hAnsi="Times New Roman" w:cs="Times New Roman"/>
    </w:rPr>
  </w:style>
  <w:style w:type="paragraph" w:customStyle="1" w:styleId="authors1">
    <w:name w:val="authors1"/>
    <w:basedOn w:val="Normal"/>
    <w:rsid w:val="006F30E0"/>
    <w:pPr>
      <w:spacing w:before="72" w:after="0" w:line="240" w:lineRule="atLeast"/>
      <w:ind w:left="825"/>
    </w:pPr>
    <w:rPr>
      <w:rFonts w:ascii="Times New Roman" w:eastAsia="Times New Roman" w:hAnsi="Times New Roman" w:cs="Times New Roman"/>
    </w:rPr>
  </w:style>
  <w:style w:type="character" w:customStyle="1" w:styleId="journalname">
    <w:name w:val="journalname"/>
    <w:basedOn w:val="DefaultParagraphFont"/>
    <w:rsid w:val="006F30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39D5E-2EEA-412E-9741-68D0830B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14244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Ameet Sarpatwaro</dc:creator>
  <cp:lastModifiedBy>Aaron Kesselheim</cp:lastModifiedBy>
  <cp:revision>6</cp:revision>
  <dcterms:created xsi:type="dcterms:W3CDTF">2015-07-26T21:17:00Z</dcterms:created>
  <dcterms:modified xsi:type="dcterms:W3CDTF">2015-07-27T01:56:00Z</dcterms:modified>
</cp:coreProperties>
</file>